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092" w:rsidRDefault="00CF512E">
      <w:pPr>
        <w:pStyle w:val="Standard"/>
        <w:ind w:firstLine="7512"/>
        <w:jc w:val="right"/>
      </w:pPr>
      <w:bookmarkStart w:id="0" w:name="_GoBack"/>
      <w:bookmarkEnd w:id="0"/>
      <w:r>
        <w:rPr>
          <w:rFonts w:ascii="Times New Roman" w:hAnsi="Times New Roman"/>
          <w:b/>
          <w:sz w:val="26"/>
        </w:rPr>
        <w:t>ПРОЕКТ</w:t>
      </w:r>
    </w:p>
    <w:p w:rsidR="00A01092" w:rsidRDefault="00CF512E">
      <w:pPr>
        <w:pStyle w:val="Standard"/>
      </w:pPr>
      <w:r>
        <w:rPr>
          <w:rFonts w:ascii="Times New Roman" w:hAnsi="Times New Roman"/>
          <w:b/>
          <w:sz w:val="26"/>
        </w:rPr>
        <w:t>МАГНИТОГОРСКОЕ ГОРОДСКОЕ</w:t>
      </w:r>
    </w:p>
    <w:p w:rsidR="00A01092" w:rsidRDefault="00CF512E">
      <w:pPr>
        <w:pStyle w:val="Standard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СОБРАНИЕ ДЕПУТАТОВ</w:t>
      </w:r>
    </w:p>
    <w:p w:rsidR="00A01092" w:rsidRDefault="00A01092">
      <w:pPr>
        <w:pStyle w:val="Standard"/>
        <w:rPr>
          <w:b/>
        </w:rPr>
      </w:pPr>
    </w:p>
    <w:p w:rsidR="00A01092" w:rsidRDefault="00CF512E">
      <w:pPr>
        <w:pStyle w:val="Standard"/>
      </w:pPr>
      <w:r>
        <w:rPr>
          <w:rFonts w:ascii="Times New Roman" w:hAnsi="Times New Roman"/>
          <w:b/>
          <w:sz w:val="26"/>
        </w:rPr>
        <w:t>РЕШЕНИЕ</w:t>
      </w:r>
    </w:p>
    <w:p w:rsidR="00A01092" w:rsidRDefault="00CF512E">
      <w:pPr>
        <w:pStyle w:val="Standard"/>
        <w:jc w:val="both"/>
      </w:pPr>
      <w:r>
        <w:rPr>
          <w:rFonts w:ascii="Times New Roman" w:hAnsi="Times New Roman"/>
          <w:sz w:val="26"/>
        </w:rPr>
        <w:t>__________________                                                                                   __________________</w:t>
      </w:r>
    </w:p>
    <w:p w:rsidR="00A01092" w:rsidRDefault="00A01092">
      <w:pPr>
        <w:pStyle w:val="Standard"/>
        <w:spacing w:line="276" w:lineRule="auto"/>
        <w:rPr>
          <w:rFonts w:ascii="Times New Roman" w:hAnsi="Times New Roman"/>
          <w:sz w:val="26"/>
        </w:rPr>
      </w:pPr>
    </w:p>
    <w:p w:rsidR="00A01092" w:rsidRDefault="00CF512E">
      <w:pPr>
        <w:pStyle w:val="Standard"/>
        <w:jc w:val="left"/>
      </w:pPr>
      <w:r>
        <w:rPr>
          <w:rFonts w:ascii="Times New Roman" w:hAnsi="Times New Roman"/>
          <w:sz w:val="26"/>
        </w:rPr>
        <w:t xml:space="preserve">О </w:t>
      </w:r>
      <w:r>
        <w:rPr>
          <w:rFonts w:ascii="Times New Roman" w:hAnsi="Times New Roman"/>
          <w:sz w:val="26"/>
        </w:rPr>
        <w:t>внесении изменений в Правила</w:t>
      </w:r>
    </w:p>
    <w:p w:rsidR="00A01092" w:rsidRDefault="00CF512E">
      <w:pPr>
        <w:pStyle w:val="Standard"/>
        <w:jc w:val="left"/>
      </w:pPr>
      <w:r>
        <w:rPr>
          <w:rFonts w:ascii="Times New Roman" w:hAnsi="Times New Roman"/>
          <w:sz w:val="26"/>
        </w:rPr>
        <w:t>землепользования и застройки города</w:t>
      </w:r>
    </w:p>
    <w:p w:rsidR="00A01092" w:rsidRDefault="00CF512E">
      <w:pPr>
        <w:pStyle w:val="Standard"/>
        <w:jc w:val="left"/>
      </w:pPr>
      <w:r>
        <w:rPr>
          <w:rFonts w:ascii="Times New Roman" w:hAnsi="Times New Roman"/>
          <w:sz w:val="26"/>
        </w:rPr>
        <w:t>Магнитогорска, утвержденные Решением</w:t>
      </w:r>
    </w:p>
    <w:p w:rsidR="00A01092" w:rsidRDefault="00CF512E">
      <w:pPr>
        <w:pStyle w:val="Standard"/>
        <w:jc w:val="left"/>
      </w:pPr>
      <w:r>
        <w:rPr>
          <w:rFonts w:ascii="Times New Roman" w:hAnsi="Times New Roman"/>
          <w:sz w:val="26"/>
        </w:rPr>
        <w:t>Магнитогорского городского Собрания</w:t>
      </w:r>
    </w:p>
    <w:p w:rsidR="00A01092" w:rsidRDefault="00CF512E">
      <w:pPr>
        <w:pStyle w:val="Standard"/>
        <w:jc w:val="left"/>
      </w:pPr>
      <w:r>
        <w:rPr>
          <w:rFonts w:ascii="Times New Roman" w:hAnsi="Times New Roman"/>
          <w:sz w:val="26"/>
        </w:rPr>
        <w:t>депутатов от 17 сентября 2008 года № 125</w:t>
      </w:r>
    </w:p>
    <w:p w:rsidR="00A01092" w:rsidRDefault="00A01092">
      <w:pPr>
        <w:pStyle w:val="Standard"/>
        <w:spacing w:line="276" w:lineRule="auto"/>
        <w:jc w:val="both"/>
        <w:rPr>
          <w:rFonts w:ascii="Times New Roman" w:hAnsi="Times New Roman"/>
          <w:sz w:val="26"/>
        </w:r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В соответствии с Градостроительным кодексом Российской Федерации, Федеральны</w:t>
      </w:r>
      <w:r>
        <w:rPr>
          <w:rFonts w:ascii="Times New Roman" w:hAnsi="Times New Roman"/>
          <w:sz w:val="26"/>
        </w:rPr>
        <w:t xml:space="preserve">м законом «Об общих принципах организации местного самоуправления в Российской Федерации», Уставом города Магнитогорска, рассмотрев направленный главой города Магнитогорска проект Решения Магнитогорского городского Собрания депутатов «О внесении изменений </w:t>
      </w:r>
      <w:r>
        <w:rPr>
          <w:rFonts w:ascii="Times New Roman" w:hAnsi="Times New Roman"/>
          <w:sz w:val="26"/>
        </w:rPr>
        <w:t>в 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125», учитывая результаты общественных обсуждений по проекту Решения Магнитогорского городского Соб</w:t>
      </w:r>
      <w:r>
        <w:rPr>
          <w:rFonts w:ascii="Times New Roman" w:hAnsi="Times New Roman"/>
          <w:sz w:val="26"/>
        </w:rPr>
        <w:t xml:space="preserve">рания депутатов «О внесении изменений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в Правила землепользования и застройки города Магнитогорска, утвержденные Решением Магнитогорского городского Собрания депутатов от 17 сентября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2008 года № 125», проведенных в соответствии с постановлениям администра</w:t>
      </w:r>
      <w:r>
        <w:rPr>
          <w:rFonts w:ascii="Times New Roman" w:hAnsi="Times New Roman"/>
          <w:sz w:val="26"/>
        </w:rPr>
        <w:t>ции города Магнитогорска от 30.07.2026 № 5537-П «О подготовке проекта о внесении изменений в Правила землепользования и застройки города Магнитогорска»,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от 03.09.2026 № 6524-П «О подготовке проекта о внесении изменений в Правила землепользования и застройк</w:t>
      </w:r>
      <w:r>
        <w:rPr>
          <w:rFonts w:ascii="Times New Roman" w:hAnsi="Times New Roman"/>
          <w:sz w:val="26"/>
        </w:rPr>
        <w:t xml:space="preserve">и города Магнитогорска», от 10.09.2026 № 6708-П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«О подготовке проекта о внесении изменений в Правила землепользования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и застройки города Магнитогорска», результаты публичных консультаций, проведенных в соответствии с Порядком проведения оценки регулирующ</w:t>
      </w:r>
      <w:r>
        <w:rPr>
          <w:rFonts w:ascii="Times New Roman" w:hAnsi="Times New Roman"/>
          <w:sz w:val="26"/>
        </w:rPr>
        <w:t>его воздействия проектов нормативных правовых актов города Магнитогорска,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у</w:t>
      </w:r>
      <w:r>
        <w:rPr>
          <w:rFonts w:ascii="Times New Roman" w:hAnsi="Times New Roman"/>
          <w:sz w:val="26"/>
        </w:rPr>
        <w:t>твержденным Решением Магнитогорского городского Собрания депутатов от 28 июня 2016 года № 89, Магнитогорское городское Собрание депутатов</w:t>
      </w:r>
    </w:p>
    <w:p w:rsidR="00A01092" w:rsidRDefault="00A01092">
      <w:pPr>
        <w:pStyle w:val="Standard"/>
        <w:spacing w:line="276" w:lineRule="auto"/>
        <w:ind w:firstLine="709"/>
        <w:jc w:val="both"/>
        <w:rPr>
          <w:rFonts w:ascii="Times New Roman" w:hAnsi="Times New Roman"/>
          <w:sz w:val="26"/>
        </w:rPr>
      </w:pPr>
    </w:p>
    <w:p w:rsidR="00A01092" w:rsidRDefault="00CF512E">
      <w:pPr>
        <w:pStyle w:val="Standard"/>
        <w:spacing w:line="276" w:lineRule="auto"/>
        <w:jc w:val="both"/>
      </w:pPr>
      <w:r>
        <w:rPr>
          <w:rFonts w:ascii="Times New Roman" w:hAnsi="Times New Roman"/>
          <w:sz w:val="26"/>
        </w:rPr>
        <w:t>РЕШАЕТ: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1. Утвердить следующие изменения в Правила землепользования и застройки города Магнитогорска, утвержденные </w:t>
      </w:r>
      <w:r>
        <w:rPr>
          <w:rFonts w:ascii="Times New Roman" w:hAnsi="Times New Roman"/>
          <w:sz w:val="26"/>
        </w:rPr>
        <w:t>Решением Магнитогорского городского Собрания депутатов от 17 сентября 2008 года № 125: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1)  пункт 5-1 статьи 11 изложить в новой редакции: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«5-1. Предельные размеры земельных участков и предельные параметры </w:t>
      </w:r>
      <w:r>
        <w:rPr>
          <w:rFonts w:ascii="Times New Roman" w:hAnsi="Times New Roman"/>
          <w:sz w:val="26"/>
        </w:rPr>
        <w:lastRenderedPageBreak/>
        <w:t xml:space="preserve">разрешенного строительства, реконструкции объектов </w:t>
      </w:r>
      <w:r>
        <w:rPr>
          <w:rFonts w:ascii="Times New Roman" w:hAnsi="Times New Roman"/>
          <w:sz w:val="26"/>
        </w:rPr>
        <w:t xml:space="preserve">капитального строительства для территориальных зон, не приведенные в Правилах, определяются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в соответствии с градостроительной документацией, со сводом правил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СП 42.13330.2026 «Градостроительство. Планировка и застройка территорий» (СНиП 2.07.01-89* Град</w:t>
      </w:r>
      <w:r>
        <w:rPr>
          <w:rFonts w:ascii="Times New Roman" w:hAnsi="Times New Roman"/>
          <w:sz w:val="26"/>
        </w:rPr>
        <w:t xml:space="preserve">остроительство. Планировка и застройка городских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и сельских поселений), другими сводами правил, санитарными нормами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и правилами, техническими регламентами, другими нормативными правовыми актами. Требования к параметрам сооружений и границам земельных уча</w:t>
      </w:r>
      <w:r>
        <w:rPr>
          <w:rFonts w:ascii="Times New Roman" w:hAnsi="Times New Roman"/>
          <w:sz w:val="26"/>
        </w:rPr>
        <w:t>стков являются расчетными и определяются в соответствии с назначением, специализацией объекта, планируемой вместимостью, количеством работающих, количеством посетителей, мощностью и объемами ресурсов, необходимых для функционирования объекта, и другим.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Зем</w:t>
      </w:r>
      <w:r>
        <w:rPr>
          <w:rFonts w:ascii="Times New Roman" w:hAnsi="Times New Roman"/>
          <w:sz w:val="26"/>
        </w:rPr>
        <w:t>ельные участки и объекты капитального строительства используются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 учетом ограничений, установленных нормативными правовыми актами.»;</w:t>
      </w:r>
    </w:p>
    <w:p w:rsidR="00A01092" w:rsidRDefault="00A01092">
      <w:pPr>
        <w:pStyle w:val="Standard"/>
        <w:spacing w:line="276" w:lineRule="auto"/>
        <w:ind w:firstLine="709"/>
        <w:jc w:val="both"/>
      </w:pP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2) таблицу «Основные виды разрешенного использования земельных участков и объектов капитального строительства (далее - ос</w:t>
      </w:r>
      <w:r>
        <w:rPr>
          <w:rFonts w:ascii="Times New Roman" w:hAnsi="Times New Roman"/>
          <w:sz w:val="26"/>
        </w:rPr>
        <w:t>новные виды разрешённого использования):» пункта 2 «Ц-2. Зона обслуживания и деловой активности местного значения» статьи 16 дополнить строкой следующего содержания:</w:t>
      </w:r>
    </w:p>
    <w:tbl>
      <w:tblPr>
        <w:tblW w:w="9498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6"/>
        <w:gridCol w:w="3552"/>
        <w:gridCol w:w="970"/>
      </w:tblGrid>
      <w:tr w:rsidR="00A01092">
        <w:tblPrEx>
          <w:tblCellMar>
            <w:top w:w="0" w:type="dxa"/>
            <w:bottom w:w="0" w:type="dxa"/>
          </w:tblCellMar>
        </w:tblPrEx>
        <w:trPr>
          <w:trHeight w:val="1379"/>
        </w:trPr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ОКС, Цель - размещение здания театра,</w:t>
            </w:r>
            <w:r>
              <w:rPr>
                <w:rFonts w:ascii="Times New Roman" w:hAnsi="Times New Roman"/>
                <w:spacing w:val="-7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концертные</w:t>
            </w:r>
            <w:r>
              <w:rPr>
                <w:rFonts w:ascii="Times New Roman" w:hAnsi="Times New Roman"/>
                <w:spacing w:val="-8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 xml:space="preserve">залы, </w:t>
            </w:r>
            <w:r>
              <w:rPr>
                <w:rFonts w:ascii="Times New Roman" w:hAnsi="Times New Roman"/>
                <w:spacing w:val="-1"/>
                <w:kern w:val="0"/>
                <w:sz w:val="26"/>
              </w:rPr>
              <w:t>кинотеатры,</w:t>
            </w:r>
            <w:r>
              <w:rPr>
                <w:rFonts w:ascii="Times New Roman" w:hAnsi="Times New Roman"/>
                <w:spacing w:val="-13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видеосалоны,</w:t>
            </w:r>
            <w:r>
              <w:rPr>
                <w:rFonts w:ascii="Times New Roman" w:hAnsi="Times New Roman"/>
                <w:spacing w:val="-11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музеи,</w:t>
            </w:r>
            <w:r>
              <w:rPr>
                <w:rFonts w:ascii="Times New Roman" w:hAnsi="Times New Roman"/>
                <w:spacing w:val="-61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выставочные залы, картинные и</w:t>
            </w:r>
            <w:r>
              <w:rPr>
                <w:rFonts w:ascii="Times New Roman" w:hAnsi="Times New Roman"/>
                <w:spacing w:val="1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художественные</w:t>
            </w:r>
            <w:r>
              <w:rPr>
                <w:rFonts w:ascii="Times New Roman" w:hAnsi="Times New Roman"/>
                <w:spacing w:val="2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 xml:space="preserve">галереи, </w:t>
            </w:r>
            <w:r>
              <w:rPr>
                <w:rFonts w:ascii="Times New Roman" w:hAnsi="Times New Roman"/>
                <w:spacing w:val="-1"/>
                <w:kern w:val="0"/>
                <w:sz w:val="26"/>
              </w:rPr>
              <w:t>художественные</w:t>
            </w:r>
            <w:r>
              <w:rPr>
                <w:rFonts w:ascii="Times New Roman" w:hAnsi="Times New Roman"/>
                <w:spacing w:val="-13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салоны,</w:t>
            </w:r>
            <w:r>
              <w:rPr>
                <w:rFonts w:ascii="Times New Roman" w:hAnsi="Times New Roman"/>
                <w:spacing w:val="-13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 xml:space="preserve">библиотеки, дома культуры, филармоний, планетариев, дворцы </w:t>
            </w:r>
            <w:r>
              <w:rPr>
                <w:rFonts w:ascii="Times New Roman" w:hAnsi="Times New Roman"/>
                <w:spacing w:val="-1"/>
                <w:kern w:val="0"/>
                <w:sz w:val="26"/>
              </w:rPr>
              <w:t>бракосочетаний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Объекты культурно-досуговой</w:t>
            </w:r>
            <w:r>
              <w:rPr>
                <w:rFonts w:ascii="Times New Roman" w:hAnsi="Times New Roman"/>
                <w:spacing w:val="1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деятельности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3.6.1</w:t>
            </w:r>
          </w:p>
        </w:tc>
      </w:tr>
    </w:tbl>
    <w:p w:rsidR="00A01092" w:rsidRDefault="00A01092">
      <w:pPr>
        <w:pStyle w:val="Standard"/>
        <w:tabs>
          <w:tab w:val="left" w:pos="4678"/>
        </w:tabs>
        <w:spacing w:line="276" w:lineRule="auto"/>
        <w:ind w:firstLine="709"/>
        <w:jc w:val="both"/>
      </w:pP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3) таблицу «Условно разрешенные виды использования*:» пу</w:t>
      </w:r>
      <w:r>
        <w:rPr>
          <w:rFonts w:ascii="Times New Roman" w:hAnsi="Times New Roman"/>
          <w:sz w:val="26"/>
        </w:rPr>
        <w:t>нкта 3 «Ж - 3. Зона малоэтажной многоквартирной жилой застройки» статьи 17 дополнить строкой следующего содержания:</w:t>
      </w:r>
    </w:p>
    <w:tbl>
      <w:tblPr>
        <w:tblW w:w="935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3402"/>
        <w:gridCol w:w="1134"/>
      </w:tblGrid>
      <w:tr w:rsidR="00A01092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ОКС - многоквартирный жилой дом *,**</w:t>
            </w:r>
          </w:p>
          <w:p w:rsidR="00A01092" w:rsidRDefault="00A01092">
            <w:pPr>
              <w:pStyle w:val="Standard"/>
              <w:tabs>
                <w:tab w:val="left" w:pos="4678"/>
              </w:tabs>
              <w:rPr>
                <w:rFonts w:ascii="Times New Roman" w:hAnsi="Times New Roman"/>
                <w:kern w:val="0"/>
                <w:sz w:val="26"/>
              </w:rPr>
            </w:pPr>
          </w:p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Цель - размещение многоквартирных домов этажностью не выше восьми этажей;</w:t>
            </w:r>
          </w:p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 xml:space="preserve">благоустройство и </w:t>
            </w:r>
            <w:r>
              <w:rPr>
                <w:rFonts w:ascii="Times New Roman" w:hAnsi="Times New Roman"/>
                <w:kern w:val="0"/>
                <w:sz w:val="26"/>
              </w:rPr>
              <w:t>озеленение;</w:t>
            </w:r>
          </w:p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размещение подземных гаражей и автостоянок;</w:t>
            </w:r>
          </w:p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обустройство спортивных и детских площадок, площадок для отдыха;</w:t>
            </w:r>
          </w:p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</w:t>
            </w:r>
            <w:r>
              <w:rPr>
                <w:rFonts w:ascii="Times New Roman" w:hAnsi="Times New Roman"/>
                <w:kern w:val="0"/>
                <w:sz w:val="26"/>
              </w:rPr>
              <w:t xml:space="preserve"> если общая площадь таких помещений в многоквартирном доме не составляет </w:t>
            </w:r>
            <w:r>
              <w:rPr>
                <w:rFonts w:ascii="Times New Roman" w:hAnsi="Times New Roman"/>
                <w:kern w:val="0"/>
                <w:sz w:val="26"/>
              </w:rPr>
              <w:lastRenderedPageBreak/>
              <w:t>более 20% общей площади помещений дома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spacing w:val="-1"/>
                <w:kern w:val="0"/>
                <w:sz w:val="26"/>
              </w:rPr>
              <w:lastRenderedPageBreak/>
              <w:t xml:space="preserve">Среднеэтажная </w:t>
            </w:r>
            <w:r>
              <w:rPr>
                <w:rFonts w:ascii="Times New Roman" w:hAnsi="Times New Roman"/>
                <w:kern w:val="0"/>
                <w:sz w:val="26"/>
              </w:rPr>
              <w:t>жилая</w:t>
            </w:r>
            <w:r>
              <w:rPr>
                <w:rFonts w:ascii="Times New Roman" w:hAnsi="Times New Roman"/>
                <w:spacing w:val="-61"/>
                <w:kern w:val="0"/>
                <w:sz w:val="26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6"/>
              </w:rPr>
              <w:t>застройка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2.5</w:t>
            </w:r>
          </w:p>
        </w:tc>
      </w:tr>
    </w:tbl>
    <w:p w:rsidR="00A01092" w:rsidRDefault="00A01092">
      <w:pPr>
        <w:pStyle w:val="Standard"/>
        <w:tabs>
          <w:tab w:val="left" w:pos="4678"/>
        </w:tabs>
        <w:spacing w:line="276" w:lineRule="auto"/>
        <w:ind w:firstLine="709"/>
        <w:jc w:val="both"/>
      </w:pP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4) дополнить примечание к таблице «Условно разрешенные виды использования*:» пункта 3 «Ж - 3. Зона малоэтажн</w:t>
      </w:r>
      <w:r>
        <w:rPr>
          <w:rFonts w:ascii="Times New Roman" w:hAnsi="Times New Roman"/>
          <w:sz w:val="26"/>
        </w:rPr>
        <w:t>ой многоквартирной жилой застройки» статьи 17 пунктом  следующего содержания:</w:t>
      </w: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«** размещение объекта капитального строительства допускается при соблюдении положений  пункта 5 статьи 22-1 Правил.».</w:t>
      </w:r>
    </w:p>
    <w:p w:rsidR="00A01092" w:rsidRDefault="00A01092">
      <w:pPr>
        <w:pStyle w:val="Standard"/>
        <w:tabs>
          <w:tab w:val="left" w:pos="4678"/>
        </w:tabs>
        <w:spacing w:line="276" w:lineRule="auto"/>
        <w:ind w:firstLine="709"/>
        <w:jc w:val="both"/>
      </w:pP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5) таблицу «Условно разрешенные виды использования**:» пун</w:t>
      </w:r>
      <w:r>
        <w:rPr>
          <w:rFonts w:ascii="Times New Roman" w:hAnsi="Times New Roman"/>
          <w:sz w:val="26"/>
        </w:rPr>
        <w:t>кта 1 «СХ-1. Зона сельскохозяйственного использования» статьи 22 дополнить строкой следующего содержания:</w:t>
      </w:r>
    </w:p>
    <w:tbl>
      <w:tblPr>
        <w:tblW w:w="9354" w:type="dxa"/>
        <w:tblInd w:w="-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1"/>
        <w:gridCol w:w="2836"/>
        <w:gridCol w:w="1417"/>
      </w:tblGrid>
      <w:tr w:rsidR="00A01092">
        <w:tblPrEx>
          <w:tblCellMar>
            <w:top w:w="0" w:type="dxa"/>
            <w:bottom w:w="0" w:type="dxa"/>
          </w:tblCellMar>
        </w:tblPrEx>
        <w:trPr>
          <w:trHeight w:val="1111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  <w:jc w:val="both"/>
            </w:pPr>
            <w:r>
              <w:rPr>
                <w:rFonts w:ascii="Times New Roman" w:hAnsi="Times New Roman"/>
                <w:kern w:val="0"/>
                <w:sz w:val="26"/>
              </w:rPr>
              <w:t>ОКС — теплично-садовый комплекс;</w:t>
            </w:r>
          </w:p>
          <w:p w:rsidR="00A01092" w:rsidRDefault="00A01092">
            <w:pPr>
              <w:pStyle w:val="Standard"/>
              <w:tabs>
                <w:tab w:val="left" w:pos="4678"/>
              </w:tabs>
              <w:jc w:val="both"/>
              <w:rPr>
                <w:rFonts w:ascii="Times New Roman" w:hAnsi="Times New Roman"/>
                <w:kern w:val="0"/>
                <w:sz w:val="26"/>
              </w:rPr>
            </w:pPr>
          </w:p>
          <w:p w:rsidR="00A01092" w:rsidRDefault="00CF512E">
            <w:pPr>
              <w:pStyle w:val="Standard"/>
              <w:tabs>
                <w:tab w:val="left" w:pos="4678"/>
              </w:tabs>
              <w:jc w:val="both"/>
            </w:pPr>
            <w:r>
              <w:rPr>
                <w:rFonts w:ascii="Times New Roman" w:hAnsi="Times New Roman"/>
                <w:kern w:val="0"/>
                <w:sz w:val="26"/>
              </w:rPr>
              <w:t>Цель - осуществление хозяйственной деятельности, связанной с выращиванием сельскохозяйственных культур.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Растениеводство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:rsidR="00A01092" w:rsidRDefault="00CF512E">
            <w:pPr>
              <w:pStyle w:val="Standard"/>
              <w:tabs>
                <w:tab w:val="left" w:pos="4678"/>
              </w:tabs>
            </w:pPr>
            <w:r>
              <w:rPr>
                <w:rFonts w:ascii="Times New Roman" w:hAnsi="Times New Roman"/>
                <w:kern w:val="0"/>
                <w:sz w:val="26"/>
              </w:rPr>
              <w:t>1.1</w:t>
            </w:r>
          </w:p>
        </w:tc>
      </w:tr>
    </w:tbl>
    <w:p w:rsidR="00A01092" w:rsidRDefault="00A01092">
      <w:pPr>
        <w:pStyle w:val="Standard"/>
        <w:tabs>
          <w:tab w:val="left" w:pos="4678"/>
        </w:tabs>
        <w:spacing w:line="276" w:lineRule="auto"/>
      </w:pP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6) пункт 13 статьи 24 изложить в новой редакции:</w:t>
      </w:r>
    </w:p>
    <w:p w:rsidR="00A01092" w:rsidRDefault="00CF512E">
      <w:pPr>
        <w:pStyle w:val="Standard"/>
        <w:tabs>
          <w:tab w:val="left" w:pos="4678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«13. На земельных участках, находящихся в зонах подверженных паводкам (зоны затопления и подтопления), запрещается :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color w:val="22272F"/>
          <w:sz w:val="26"/>
        </w:rPr>
        <w:t>1</w:t>
      </w:r>
      <w:r>
        <w:rPr>
          <w:rFonts w:ascii="Times New Roman" w:hAnsi="Times New Roman"/>
          <w:sz w:val="26"/>
        </w:rPr>
        <w:t>) строительство объектов капитального строительства (за исключением</w:t>
      </w:r>
      <w:r>
        <w:rPr>
          <w:rFonts w:ascii="Times New Roman" w:hAnsi="Times New Roman"/>
          <w:sz w:val="26"/>
        </w:rPr>
        <w:t xml:space="preserve"> строительства сооружений инженерной защиты, предназначенных для защиты территорий и объектов от негативного воздействия вод);</w:t>
      </w:r>
      <w:bookmarkStart w:id="1" w:name="p_5093569"/>
    </w:p>
    <w:p w:rsidR="00000000" w:rsidRDefault="00CF512E">
      <w:pPr>
        <w:sectPr w:rsidR="00000000">
          <w:headerReference w:type="default" r:id="rId7"/>
          <w:footerReference w:type="default" r:id="rId8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2) использование сточных вод в целях повышения почвенного плодородия;</w:t>
      </w:r>
      <w:bookmarkStart w:id="2" w:name="p_2710075"/>
      <w:bookmarkStart w:id="3" w:name="entry_671132"/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3) размещение кладбищ, объектов уничтожения биологических</w:t>
      </w:r>
      <w:r>
        <w:rPr>
          <w:rFonts w:ascii="Times New Roman" w:hAnsi="Times New Roman"/>
          <w:sz w:val="26"/>
        </w:rPr>
        <w:t xml:space="preserve"> отходов,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  <w:bookmarkStart w:id="4" w:name="p_3964766"/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4) осуществление авиационных мер по борьбе с вредными организмами;</w:t>
      </w:r>
      <w:bookmarkStart w:id="5" w:name="p_320431"/>
      <w:bookmarkStart w:id="6" w:name="entry_671134"/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5) освоение</w:t>
      </w:r>
      <w:r>
        <w:rPr>
          <w:rFonts w:ascii="Times New Roman" w:hAnsi="Times New Roman"/>
          <w:sz w:val="26"/>
        </w:rPr>
        <w:t xml:space="preserve">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</w:t>
      </w:r>
      <w:bookmarkStart w:id="7" w:name="p_5093571"/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CF512E">
      <w:pPr>
        <w:pStyle w:val="Standard"/>
        <w:tabs>
          <w:tab w:val="left" w:pos="720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В целях предотвращения негативного воздействия вод на определенные территории и об</w:t>
      </w:r>
      <w:r>
        <w:rPr>
          <w:rFonts w:ascii="Times New Roman" w:hAnsi="Times New Roman"/>
          <w:sz w:val="26"/>
        </w:rPr>
        <w:t xml:space="preserve">ъекты и ликвидации его последствий осуществляются мероприятия, предусмотренные </w:t>
      </w:r>
      <w:hyperlink r:id="rId9" w:history="1">
        <w:r>
          <w:rPr>
            <w:rFonts w:ascii="Times New Roman" w:hAnsi="Times New Roman"/>
            <w:sz w:val="26"/>
          </w:rPr>
          <w:t>Водным кодексом Российской Федерации</w:t>
        </w:r>
      </w:hyperlink>
      <w:r>
        <w:rPr>
          <w:rFonts w:ascii="Times New Roman" w:hAnsi="Times New Roman"/>
          <w:sz w:val="26"/>
        </w:rPr>
        <w:t>.»</w:t>
      </w:r>
    </w:p>
    <w:p w:rsidR="00A01092" w:rsidRDefault="00A01092">
      <w:pPr>
        <w:pStyle w:val="Standard"/>
        <w:tabs>
          <w:tab w:val="left" w:pos="720"/>
        </w:tabs>
        <w:spacing w:line="276" w:lineRule="auto"/>
        <w:ind w:firstLine="709"/>
        <w:jc w:val="both"/>
      </w:pPr>
    </w:p>
    <w:p w:rsidR="00A01092" w:rsidRDefault="00CF512E">
      <w:pPr>
        <w:pStyle w:val="Standard"/>
        <w:tabs>
          <w:tab w:val="left" w:pos="720"/>
        </w:tabs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7) изложить приложение №1-2 в следующей редакции:</w:t>
      </w:r>
    </w:p>
    <w:p w:rsidR="00A01092" w:rsidRDefault="00CF512E">
      <w:pPr>
        <w:pStyle w:val="Standard"/>
        <w:tabs>
          <w:tab w:val="left" w:pos="720"/>
        </w:tabs>
        <w:spacing w:line="276" w:lineRule="auto"/>
        <w:ind w:firstLine="709"/>
        <w:jc w:val="both"/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722</wp:posOffset>
            </wp:positionV>
            <wp:extent cx="5939640" cy="8053203"/>
            <wp:effectExtent l="0" t="0" r="3960" b="4947"/>
            <wp:wrapSquare wrapText="bothSides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640" cy="80532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01092" w:rsidRDefault="00A01092">
      <w:pPr>
        <w:pStyle w:val="Standard"/>
        <w:spacing w:line="276" w:lineRule="auto"/>
        <w:ind w:firstLine="709"/>
        <w:jc w:val="both"/>
      </w:pPr>
    </w:p>
    <w:p w:rsidR="00A01092" w:rsidRDefault="00A01092">
      <w:pPr>
        <w:pStyle w:val="Standard"/>
        <w:spacing w:line="276" w:lineRule="auto"/>
        <w:ind w:firstLine="709"/>
        <w:jc w:val="both"/>
        <w:rPr>
          <w:rFonts w:ascii="Times New Roman" w:hAnsi="Times New Roman"/>
          <w:sz w:val="26"/>
        </w:rPr>
      </w:pPr>
    </w:p>
    <w:p w:rsidR="00A01092" w:rsidRDefault="00A01092">
      <w:pPr>
        <w:pStyle w:val="Standard"/>
        <w:spacing w:line="276" w:lineRule="auto"/>
        <w:ind w:firstLine="709"/>
        <w:jc w:val="both"/>
        <w:rPr>
          <w:rFonts w:ascii="Times New Roman" w:hAnsi="Times New Roman"/>
          <w:sz w:val="26"/>
        </w:rPr>
      </w:pPr>
    </w:p>
    <w:p w:rsidR="00A01092" w:rsidRDefault="00A01092">
      <w:pPr>
        <w:pStyle w:val="Standard"/>
        <w:spacing w:line="276" w:lineRule="auto"/>
        <w:ind w:firstLine="709"/>
        <w:jc w:val="both"/>
        <w:rPr>
          <w:rFonts w:ascii="Times New Roman" w:hAnsi="Times New Roman"/>
          <w:sz w:val="26"/>
        </w:rPr>
      </w:pP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lastRenderedPageBreak/>
        <w:t>2. Админис</w:t>
      </w:r>
      <w:r>
        <w:rPr>
          <w:rFonts w:ascii="Times New Roman" w:hAnsi="Times New Roman"/>
          <w:sz w:val="26"/>
        </w:rPr>
        <w:t xml:space="preserve">трации города Магнитогорска направить в орган, осуществляющий государственный контроль за соблюдением законодательства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о градостроительной деятельности, и в орган, осуществляющий государственный кадастровый учет, государственную регистрацию прав, ведение </w:t>
      </w:r>
      <w:r>
        <w:rPr>
          <w:rFonts w:ascii="Times New Roman" w:hAnsi="Times New Roman"/>
          <w:sz w:val="26"/>
        </w:rPr>
        <w:t xml:space="preserve">Единого государственного реестра недвижимости, копии настоящего Решения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в соответствии с требованиями законодательства.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3. Настоящее Решение вступает в силу после его официального опубликования.</w:t>
      </w:r>
    </w:p>
    <w:p w:rsidR="00A01092" w:rsidRDefault="00CF512E">
      <w:pPr>
        <w:pStyle w:val="Standard"/>
        <w:spacing w:line="276" w:lineRule="auto"/>
        <w:ind w:firstLine="709"/>
        <w:jc w:val="both"/>
      </w:pPr>
      <w:r>
        <w:rPr>
          <w:rFonts w:ascii="Times New Roman" w:hAnsi="Times New Roman"/>
          <w:sz w:val="26"/>
        </w:rPr>
        <w:t>4. Контроль исполнения настоящего Решения возложить на предс</w:t>
      </w:r>
      <w:r>
        <w:rPr>
          <w:rFonts w:ascii="Times New Roman" w:hAnsi="Times New Roman"/>
          <w:sz w:val="26"/>
        </w:rPr>
        <w:t>едателя Магнитогорского городского Собрания депутатов А.О. Морозова, на Главу города Магнитогорска С.Н. Бердникова, председателя Контрольно-счетной палаты города Магнитогорска В.А. Корсакова.</w:t>
      </w:r>
    </w:p>
    <w:p w:rsidR="00A01092" w:rsidRDefault="00A01092">
      <w:pPr>
        <w:pStyle w:val="Standard"/>
        <w:spacing w:line="276" w:lineRule="auto"/>
        <w:jc w:val="both"/>
        <w:rPr>
          <w:rFonts w:ascii="Times New Roman" w:hAnsi="Times New Roman"/>
          <w:sz w:val="26"/>
        </w:rPr>
      </w:pPr>
    </w:p>
    <w:p w:rsidR="00A01092" w:rsidRDefault="00A01092">
      <w:pPr>
        <w:pStyle w:val="Standard"/>
        <w:spacing w:line="276" w:lineRule="auto"/>
        <w:jc w:val="both"/>
        <w:rPr>
          <w:rFonts w:ascii="Times New Roman" w:hAnsi="Times New Roman"/>
          <w:sz w:val="26"/>
        </w:rPr>
      </w:pPr>
    </w:p>
    <w:p w:rsidR="00A01092" w:rsidRDefault="00A01092">
      <w:pPr>
        <w:pStyle w:val="Standard"/>
        <w:jc w:val="both"/>
        <w:rPr>
          <w:rFonts w:ascii="Times New Roman" w:hAnsi="Times New Roman"/>
          <w:sz w:val="26"/>
        </w:rPr>
      </w:pPr>
    </w:p>
    <w:p w:rsidR="00A01092" w:rsidRDefault="00A01092">
      <w:pPr>
        <w:pStyle w:val="Standard"/>
        <w:jc w:val="both"/>
        <w:rPr>
          <w:rFonts w:ascii="Times New Roman" w:hAnsi="Times New Roman"/>
          <w:sz w:val="26"/>
        </w:rPr>
      </w:pPr>
    </w:p>
    <w:tbl>
      <w:tblPr>
        <w:tblW w:w="935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2"/>
        <w:gridCol w:w="4820"/>
      </w:tblGrid>
      <w:tr w:rsidR="00A01092">
        <w:tblPrEx>
          <w:tblCellMar>
            <w:top w:w="0" w:type="dxa"/>
            <w:bottom w:w="0" w:type="dxa"/>
          </w:tblCellMar>
        </w:tblPrEx>
        <w:tc>
          <w:tcPr>
            <w:tcW w:w="4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092" w:rsidRDefault="00CF512E">
            <w:pPr>
              <w:pStyle w:val="Standard"/>
              <w:tabs>
                <w:tab w:val="left" w:pos="1843"/>
              </w:tabs>
              <w:ind w:firstLine="709"/>
              <w:jc w:val="right"/>
            </w:pPr>
            <w:r>
              <w:rPr>
                <w:rFonts w:ascii="Times New Roman" w:hAnsi="Times New Roman"/>
                <w:kern w:val="0"/>
                <w:sz w:val="26"/>
              </w:rPr>
              <w:t>Глава города Магнитогорска</w:t>
            </w: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092" w:rsidRDefault="00CF512E">
            <w:pPr>
              <w:pStyle w:val="Standard"/>
              <w:ind w:firstLine="59"/>
              <w:jc w:val="right"/>
            </w:pPr>
            <w:r>
              <w:rPr>
                <w:rFonts w:ascii="Times New Roman" w:hAnsi="Times New Roman"/>
                <w:kern w:val="0"/>
                <w:sz w:val="26"/>
              </w:rPr>
              <w:t xml:space="preserve">Председатель Магнитогорского </w:t>
            </w:r>
            <w:r>
              <w:rPr>
                <w:rFonts w:ascii="Times New Roman" w:hAnsi="Times New Roman"/>
                <w:kern w:val="0"/>
                <w:sz w:val="26"/>
              </w:rPr>
              <w:t>городского Собрания депутатов</w:t>
            </w:r>
          </w:p>
        </w:tc>
      </w:tr>
      <w:tr w:rsidR="00A01092">
        <w:tblPrEx>
          <w:tblCellMar>
            <w:top w:w="0" w:type="dxa"/>
            <w:bottom w:w="0" w:type="dxa"/>
          </w:tblCellMar>
        </w:tblPrEx>
        <w:tc>
          <w:tcPr>
            <w:tcW w:w="4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092" w:rsidRDefault="00A01092">
            <w:pPr>
              <w:pStyle w:val="Standard"/>
              <w:rPr>
                <w:rFonts w:ascii="Times New Roman" w:hAnsi="Times New Roman"/>
                <w:kern w:val="0"/>
                <w:sz w:val="26"/>
              </w:rPr>
            </w:pPr>
          </w:p>
          <w:p w:rsidR="00A01092" w:rsidRDefault="00CF512E">
            <w:pPr>
              <w:pStyle w:val="Standard"/>
              <w:ind w:firstLine="709"/>
              <w:jc w:val="right"/>
            </w:pPr>
            <w:r>
              <w:rPr>
                <w:rFonts w:ascii="Times New Roman" w:hAnsi="Times New Roman"/>
                <w:kern w:val="0"/>
                <w:sz w:val="26"/>
              </w:rPr>
              <w:t>С.Н. Бердников</w:t>
            </w: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092" w:rsidRDefault="00A01092">
            <w:pPr>
              <w:pStyle w:val="Standard"/>
              <w:rPr>
                <w:rFonts w:ascii="Times New Roman" w:hAnsi="Times New Roman"/>
                <w:kern w:val="0"/>
                <w:sz w:val="26"/>
              </w:rPr>
            </w:pPr>
          </w:p>
          <w:p w:rsidR="00A01092" w:rsidRDefault="00CF512E">
            <w:pPr>
              <w:pStyle w:val="Standard"/>
              <w:ind w:firstLine="709"/>
              <w:jc w:val="right"/>
            </w:pPr>
            <w:r>
              <w:rPr>
                <w:rFonts w:ascii="Times New Roman" w:hAnsi="Times New Roman"/>
                <w:kern w:val="0"/>
                <w:sz w:val="26"/>
              </w:rPr>
              <w:t>А.О. Морозов</w:t>
            </w:r>
          </w:p>
        </w:tc>
      </w:tr>
    </w:tbl>
    <w:p w:rsidR="00A01092" w:rsidRDefault="00A01092">
      <w:pPr>
        <w:pStyle w:val="Standard"/>
        <w:jc w:val="both"/>
        <w:rPr>
          <w:rFonts w:ascii="Times New Roman" w:hAnsi="Times New Roman"/>
          <w:sz w:val="24"/>
        </w:rPr>
      </w:pPr>
      <w:bookmarkStart w:id="8" w:name="_GoBack_Копия_1_Копия_1_Копия_3"/>
      <w:bookmarkStart w:id="9" w:name="_GoBack_Копия_1_Копия_1_Копия_2"/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A01092">
      <w:pPr>
        <w:pStyle w:val="Standard"/>
      </w:pPr>
    </w:p>
    <w:p w:rsidR="00000000" w:rsidRDefault="00CF512E">
      <w:pPr>
        <w:sectPr w:rsidR="00000000">
          <w:type w:val="continuous"/>
          <w:pgSz w:w="11906" w:h="16838"/>
          <w:pgMar w:top="1134" w:right="567" w:bottom="1134" w:left="1134" w:header="567" w:footer="567" w:gutter="0"/>
          <w:cols w:space="720"/>
        </w:sectPr>
      </w:pPr>
    </w:p>
    <w:p w:rsidR="00A01092" w:rsidRDefault="00A01092">
      <w:pPr>
        <w:pStyle w:val="Firstlineindent"/>
      </w:pPr>
    </w:p>
    <w:p w:rsidR="00A01092" w:rsidRDefault="00A01092">
      <w:pPr>
        <w:pStyle w:val="Firstlineindent"/>
      </w:pPr>
      <w:bookmarkStart w:id="10" w:name="_GoBack_Копия_1_Копия_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sectPr w:rsidR="00A01092">
      <w:type w:val="continuous"/>
      <w:pgSz w:w="11906" w:h="16838"/>
      <w:pgMar w:top="1134" w:right="567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12E" w:rsidRDefault="00CF512E">
      <w:r>
        <w:separator/>
      </w:r>
    </w:p>
  </w:endnote>
  <w:endnote w:type="continuationSeparator" w:id="0">
    <w:p w:rsidR="00CF512E" w:rsidRDefault="00CF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BE" w:rsidRDefault="00CF512E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3D66D8">
      <w:rPr>
        <w:noProof/>
      </w:rPr>
      <w:t>2</w:t>
    </w:r>
    <w:r>
      <w:fldChar w:fldCharType="end"/>
    </w:r>
  </w:p>
  <w:p w:rsidR="00A451BE" w:rsidRDefault="00CF51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12E" w:rsidRDefault="00CF512E">
      <w:r>
        <w:rPr>
          <w:color w:val="000000"/>
        </w:rPr>
        <w:separator/>
      </w:r>
    </w:p>
  </w:footnote>
  <w:footnote w:type="continuationSeparator" w:id="0">
    <w:p w:rsidR="00CF512E" w:rsidRDefault="00CF5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1BE" w:rsidRDefault="00CF512E"/>
  <w:p w:rsidR="00A451BE" w:rsidRDefault="00CF51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11304"/>
    <w:multiLevelType w:val="multilevel"/>
    <w:tmpl w:val="72C0955C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" w15:restartNumberingAfterBreak="0">
    <w:nsid w:val="17FC4576"/>
    <w:multiLevelType w:val="multilevel"/>
    <w:tmpl w:val="25B29298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2" w15:restartNumberingAfterBreak="0">
    <w:nsid w:val="1F524C0E"/>
    <w:multiLevelType w:val="multilevel"/>
    <w:tmpl w:val="E2D6ACAA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3" w15:restartNumberingAfterBreak="0">
    <w:nsid w:val="207A31CA"/>
    <w:multiLevelType w:val="multilevel"/>
    <w:tmpl w:val="A5683474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4" w15:restartNumberingAfterBreak="0">
    <w:nsid w:val="26734A09"/>
    <w:multiLevelType w:val="multilevel"/>
    <w:tmpl w:val="010A2E44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5" w15:restartNumberingAfterBreak="0">
    <w:nsid w:val="312B7F40"/>
    <w:multiLevelType w:val="multilevel"/>
    <w:tmpl w:val="3B686D2A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6" w15:restartNumberingAfterBreak="0">
    <w:nsid w:val="334E07B3"/>
    <w:multiLevelType w:val="multilevel"/>
    <w:tmpl w:val="2BA4BA0A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7" w15:restartNumberingAfterBreak="0">
    <w:nsid w:val="3A771F76"/>
    <w:multiLevelType w:val="multilevel"/>
    <w:tmpl w:val="5AFAB256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8" w15:restartNumberingAfterBreak="0">
    <w:nsid w:val="4B216850"/>
    <w:multiLevelType w:val="multilevel"/>
    <w:tmpl w:val="341C6930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9" w15:restartNumberingAfterBreak="0">
    <w:nsid w:val="50534080"/>
    <w:multiLevelType w:val="multilevel"/>
    <w:tmpl w:val="7D20BB3C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10" w15:restartNumberingAfterBreak="0">
    <w:nsid w:val="5A5C56BB"/>
    <w:multiLevelType w:val="multilevel"/>
    <w:tmpl w:val="052606AC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11" w15:restartNumberingAfterBreak="0">
    <w:nsid w:val="733E4FB1"/>
    <w:multiLevelType w:val="multilevel"/>
    <w:tmpl w:val="120839A0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12" w15:restartNumberingAfterBreak="0">
    <w:nsid w:val="74164B9C"/>
    <w:multiLevelType w:val="multilevel"/>
    <w:tmpl w:val="B55C2618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9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01092"/>
    <w:rsid w:val="003D66D8"/>
    <w:rsid w:val="00A01092"/>
    <w:rsid w:val="00C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E21EE-CBF1-4938-8CB4-7ADB7476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pPr>
      <w:suppressAutoHyphens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pPr>
      <w:tabs>
        <w:tab w:val="left" w:pos="0"/>
      </w:tabs>
      <w:suppressAutoHyphens/>
    </w:pPr>
  </w:style>
  <w:style w:type="paragraph" w:customStyle="1" w:styleId="Textbodyindent">
    <w:name w:val="Text body indent"/>
    <w:pPr>
      <w:suppressAutoHyphens/>
    </w:pPr>
  </w:style>
  <w:style w:type="paragraph" w:styleId="a5">
    <w:name w:val="Salutation"/>
    <w:basedOn w:val="Standard"/>
  </w:style>
  <w:style w:type="paragraph" w:styleId="a6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pPr>
      <w:tabs>
        <w:tab w:val="left" w:pos="0"/>
      </w:tabs>
      <w:suppressAutoHyphens/>
    </w:pPr>
  </w:style>
  <w:style w:type="paragraph" w:customStyle="1" w:styleId="Heading10">
    <w:name w:val="Heading 10"/>
    <w:basedOn w:val="Heading"/>
  </w:style>
  <w:style w:type="paragraph" w:customStyle="1" w:styleId="Numbering1Start">
    <w:name w:val="Numbering 1 Start"/>
    <w:next w:val="Numbering1"/>
    <w:pPr>
      <w:suppressAutoHyphens/>
    </w:pPr>
  </w:style>
  <w:style w:type="paragraph" w:customStyle="1" w:styleId="Numbering1">
    <w:name w:val="Numbering 1"/>
    <w:pPr>
      <w:numPr>
        <w:numId w:val="1"/>
      </w:numPr>
      <w:suppressAutoHyphens/>
    </w:pPr>
  </w:style>
  <w:style w:type="paragraph" w:customStyle="1" w:styleId="Numbering1End">
    <w:name w:val="Numbering 1 End"/>
    <w:next w:val="Numbering1"/>
    <w:pPr>
      <w:suppressAutoHyphens/>
    </w:pPr>
  </w:style>
  <w:style w:type="paragraph" w:customStyle="1" w:styleId="Numbering1Cont">
    <w:name w:val="Numbering 1 Cont."/>
    <w:pPr>
      <w:suppressAutoHyphens/>
    </w:pPr>
  </w:style>
  <w:style w:type="paragraph" w:customStyle="1" w:styleId="Numbering2Start">
    <w:name w:val="Numbering 2 Start"/>
    <w:next w:val="Numbering2"/>
    <w:pPr>
      <w:suppressAutoHyphens/>
    </w:pPr>
  </w:style>
  <w:style w:type="paragraph" w:customStyle="1" w:styleId="Numbering2">
    <w:name w:val="Numbering 2"/>
    <w:pPr>
      <w:suppressAutoHyphens/>
    </w:pPr>
  </w:style>
  <w:style w:type="paragraph" w:customStyle="1" w:styleId="Numbering2End">
    <w:name w:val="Numbering 2 End"/>
    <w:next w:val="Numbering2"/>
    <w:pPr>
      <w:suppressAutoHyphens/>
    </w:pPr>
  </w:style>
  <w:style w:type="paragraph" w:customStyle="1" w:styleId="Numbering2Cont">
    <w:name w:val="Numbering 2 Cont."/>
    <w:pPr>
      <w:suppressAutoHyphens/>
    </w:pPr>
  </w:style>
  <w:style w:type="paragraph" w:customStyle="1" w:styleId="Numbering3Start">
    <w:name w:val="Numbering 3 Start"/>
    <w:next w:val="Numbering3"/>
    <w:pPr>
      <w:suppressAutoHyphens/>
    </w:pPr>
  </w:style>
  <w:style w:type="paragraph" w:customStyle="1" w:styleId="Numbering3">
    <w:name w:val="Numbering 3"/>
    <w:pPr>
      <w:suppressAutoHyphens/>
    </w:pPr>
  </w:style>
  <w:style w:type="paragraph" w:customStyle="1" w:styleId="Numbering3End">
    <w:name w:val="Numbering 3 End"/>
    <w:next w:val="Numbering3"/>
    <w:pPr>
      <w:suppressAutoHyphens/>
    </w:pPr>
  </w:style>
  <w:style w:type="paragraph" w:customStyle="1" w:styleId="Numbering3Cont">
    <w:name w:val="Numbering 3 Cont."/>
    <w:pPr>
      <w:suppressAutoHyphens/>
    </w:pPr>
  </w:style>
  <w:style w:type="paragraph" w:customStyle="1" w:styleId="Numbering4Start">
    <w:name w:val="Numbering 4 Start"/>
    <w:next w:val="Numbering4"/>
    <w:pPr>
      <w:suppressAutoHyphens/>
    </w:pPr>
  </w:style>
  <w:style w:type="paragraph" w:customStyle="1" w:styleId="Numbering4">
    <w:name w:val="Numbering 4"/>
    <w:pPr>
      <w:suppressAutoHyphens/>
    </w:pPr>
  </w:style>
  <w:style w:type="paragraph" w:customStyle="1" w:styleId="Numbering4End">
    <w:name w:val="Numbering 4 End"/>
    <w:next w:val="Numbering4"/>
    <w:pPr>
      <w:suppressAutoHyphens/>
    </w:pPr>
  </w:style>
  <w:style w:type="paragraph" w:customStyle="1" w:styleId="Numbering4Cont">
    <w:name w:val="Numbering 4 Cont."/>
    <w:pPr>
      <w:suppressAutoHyphens/>
    </w:pPr>
  </w:style>
  <w:style w:type="paragraph" w:customStyle="1" w:styleId="Numbering5Start">
    <w:name w:val="Numbering 5 Start"/>
    <w:next w:val="Numbering5"/>
    <w:pPr>
      <w:suppressAutoHyphens/>
    </w:pPr>
  </w:style>
  <w:style w:type="paragraph" w:customStyle="1" w:styleId="Numbering5">
    <w:name w:val="Numbering 5"/>
    <w:pPr>
      <w:suppressAutoHyphens/>
    </w:pPr>
  </w:style>
  <w:style w:type="paragraph" w:customStyle="1" w:styleId="Numbering5End">
    <w:name w:val="Numbering 5 End"/>
    <w:next w:val="Numbering5"/>
    <w:pPr>
      <w:suppressAutoHyphens/>
    </w:pPr>
  </w:style>
  <w:style w:type="paragraph" w:customStyle="1" w:styleId="Numbering5Cont">
    <w:name w:val="Numbering 5 Cont."/>
    <w:pPr>
      <w:suppressAutoHyphens/>
    </w:pPr>
  </w:style>
  <w:style w:type="paragraph" w:customStyle="1" w:styleId="List1Start">
    <w:name w:val="List 1 Start"/>
    <w:next w:val="List1"/>
    <w:pPr>
      <w:suppressAutoHyphens/>
    </w:pPr>
  </w:style>
  <w:style w:type="paragraph" w:customStyle="1" w:styleId="List1">
    <w:name w:val="List 1"/>
    <w:pPr>
      <w:numPr>
        <w:numId w:val="6"/>
      </w:numPr>
      <w:suppressAutoHyphens/>
    </w:pPr>
  </w:style>
  <w:style w:type="paragraph" w:customStyle="1" w:styleId="List1End">
    <w:name w:val="List 1 End"/>
    <w:next w:val="List1"/>
    <w:pPr>
      <w:suppressAutoHyphens/>
    </w:pPr>
  </w:style>
  <w:style w:type="paragraph" w:customStyle="1" w:styleId="List1Cont">
    <w:name w:val="List 1 Cont."/>
    <w:pPr>
      <w:suppressAutoHyphens/>
    </w:pPr>
  </w:style>
  <w:style w:type="paragraph" w:customStyle="1" w:styleId="List2Start">
    <w:name w:val="List 2 Start"/>
    <w:next w:val="2"/>
    <w:pPr>
      <w:suppressAutoHyphens/>
    </w:pPr>
  </w:style>
  <w:style w:type="paragraph" w:styleId="2">
    <w:name w:val="List 2"/>
    <w:pPr>
      <w:suppressAutoHyphens/>
    </w:pPr>
  </w:style>
  <w:style w:type="paragraph" w:customStyle="1" w:styleId="List2End">
    <w:name w:val="List 2 End"/>
    <w:next w:val="2"/>
    <w:pPr>
      <w:suppressAutoHyphens/>
    </w:pPr>
  </w:style>
  <w:style w:type="paragraph" w:customStyle="1" w:styleId="List2Cont">
    <w:name w:val="List 2 Cont."/>
    <w:pPr>
      <w:suppressAutoHyphens/>
    </w:pPr>
  </w:style>
  <w:style w:type="paragraph" w:customStyle="1" w:styleId="List3Start">
    <w:name w:val="List 3 Start"/>
    <w:next w:val="3"/>
    <w:pPr>
      <w:suppressAutoHyphens/>
    </w:pPr>
  </w:style>
  <w:style w:type="paragraph" w:styleId="3">
    <w:name w:val="List 3"/>
    <w:pPr>
      <w:suppressAutoHyphens/>
    </w:pPr>
  </w:style>
  <w:style w:type="paragraph" w:customStyle="1" w:styleId="List3End">
    <w:name w:val="List 3 End"/>
    <w:next w:val="3"/>
    <w:pPr>
      <w:suppressAutoHyphens/>
    </w:pPr>
  </w:style>
  <w:style w:type="paragraph" w:customStyle="1" w:styleId="List3Cont">
    <w:name w:val="List 3 Cont."/>
    <w:pPr>
      <w:suppressAutoHyphens/>
    </w:pPr>
  </w:style>
  <w:style w:type="paragraph" w:customStyle="1" w:styleId="List4Start">
    <w:name w:val="List 4 Start"/>
    <w:next w:val="4"/>
    <w:pPr>
      <w:suppressAutoHyphens/>
    </w:pPr>
  </w:style>
  <w:style w:type="paragraph" w:styleId="4">
    <w:name w:val="List 4"/>
    <w:pPr>
      <w:suppressAutoHyphens/>
    </w:pPr>
  </w:style>
  <w:style w:type="paragraph" w:customStyle="1" w:styleId="List4End">
    <w:name w:val="List 4 End"/>
    <w:next w:val="4"/>
    <w:pPr>
      <w:suppressAutoHyphens/>
    </w:pPr>
  </w:style>
  <w:style w:type="paragraph" w:customStyle="1" w:styleId="List4Cont">
    <w:name w:val="List 4 Cont."/>
    <w:pPr>
      <w:suppressAutoHyphens/>
    </w:pPr>
  </w:style>
  <w:style w:type="paragraph" w:customStyle="1" w:styleId="List5Start">
    <w:name w:val="List 5 Start"/>
    <w:next w:val="5"/>
    <w:pPr>
      <w:suppressAutoHyphens/>
    </w:pPr>
  </w:style>
  <w:style w:type="paragraph" w:styleId="5">
    <w:name w:val="List 5"/>
    <w:pPr>
      <w:suppressAutoHyphens/>
    </w:pPr>
  </w:style>
  <w:style w:type="paragraph" w:customStyle="1" w:styleId="List5End">
    <w:name w:val="List 5 End"/>
    <w:next w:val="5"/>
    <w:pPr>
      <w:suppressAutoHyphens/>
    </w:pPr>
  </w:style>
  <w:style w:type="paragraph" w:customStyle="1" w:styleId="List5Cont">
    <w:name w:val="List 5 Cont."/>
    <w:pPr>
      <w:suppressAutoHyphens/>
    </w:pPr>
  </w:style>
  <w:style w:type="paragraph" w:styleId="10">
    <w:name w:val="index 1"/>
    <w:basedOn w:val="Index"/>
  </w:style>
  <w:style w:type="paragraph" w:styleId="20">
    <w:name w:val="index 2"/>
    <w:basedOn w:val="Index"/>
  </w:style>
  <w:style w:type="paragraph" w:styleId="30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pPr>
      <w:suppressAutoHyphens/>
    </w:pPr>
  </w:style>
  <w:style w:type="paragraph" w:customStyle="1" w:styleId="Table">
    <w:name w:val="Table"/>
    <w:pPr>
      <w:suppressAutoHyphens/>
    </w:pPr>
  </w:style>
  <w:style w:type="paragraph" w:customStyle="1" w:styleId="Text">
    <w:name w:val="Text"/>
    <w:pPr>
      <w:suppressAutoHyphens/>
    </w:pPr>
  </w:style>
  <w:style w:type="paragraph" w:customStyle="1" w:styleId="Framecontents">
    <w:name w:val="Frame contents"/>
    <w:basedOn w:val="Standard"/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Drawing">
    <w:name w:val="Drawing"/>
    <w:pPr>
      <w:suppressAutoHyphens/>
    </w:pPr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7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customStyle="1" w:styleId="Footnoteuser">
    <w:name w:val="Footnote (user)"/>
    <w:basedOn w:val="Standard"/>
    <w:pPr>
      <w:spacing w:after="40" w:line="240" w:lineRule="exact"/>
    </w:pPr>
    <w:rPr>
      <w:sz w:val="18"/>
    </w:rPr>
  </w:style>
  <w:style w:type="paragraph" w:customStyle="1" w:styleId="a8">
    <w:name w:val="Символ концевой сноски"/>
    <w:pPr>
      <w:suppressAutoHyphens/>
      <w:spacing w:line="240" w:lineRule="exact"/>
    </w:pPr>
    <w:rPr>
      <w:vertAlign w:val="superscript"/>
    </w:rPr>
  </w:style>
  <w:style w:type="paragraph" w:customStyle="1" w:styleId="a9">
    <w:name w:val="Символ сноски"/>
    <w:pPr>
      <w:suppressAutoHyphens/>
      <w:spacing w:line="240" w:lineRule="exact"/>
    </w:pPr>
    <w:rPr>
      <w:vertAlign w:val="superscript"/>
    </w:rPr>
  </w:style>
  <w:style w:type="paragraph" w:customStyle="1" w:styleId="Endnoteuser">
    <w:name w:val="Endnote (user)"/>
    <w:basedOn w:val="Standard"/>
    <w:pPr>
      <w:spacing w:line="240" w:lineRule="exact"/>
    </w:pPr>
    <w:rPr>
      <w:sz w:val="2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a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b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ListLabel9">
    <w:name w:val="ListLabel 9"/>
  </w:style>
  <w:style w:type="character" w:customStyle="1" w:styleId="ListLabel8">
    <w:name w:val="ListLabel 8"/>
  </w:style>
  <w:style w:type="character" w:customStyle="1" w:styleId="ListLabel7">
    <w:name w:val="ListLabel 7"/>
  </w:style>
  <w:style w:type="character" w:customStyle="1" w:styleId="ListLabel6">
    <w:name w:val="ListLabel 6"/>
  </w:style>
  <w:style w:type="character" w:customStyle="1" w:styleId="ListLabel5">
    <w:name w:val="ListLabel 5"/>
  </w:style>
  <w:style w:type="character" w:customStyle="1" w:styleId="ListLabel4">
    <w:name w:val="ListLabel 4"/>
  </w:style>
  <w:style w:type="character" w:customStyle="1" w:styleId="ListLabel3">
    <w:name w:val="ListLabel 3"/>
  </w:style>
  <w:style w:type="character" w:customStyle="1" w:styleId="ListLabel2">
    <w:name w:val="ListLabel 2"/>
  </w:style>
  <w:style w:type="character" w:customStyle="1" w:styleId="ListLabel1">
    <w:name w:val="ListLabel 1"/>
  </w:style>
  <w:style w:type="character" w:customStyle="1" w:styleId="61">
    <w:name w:val="Заголовок 61"/>
    <w:rPr>
      <w:rFonts w:ascii="Liberation Sans" w:eastAsia="Liberation Sans" w:hAnsi="Liberation Sans" w:cs="Liberation Sans"/>
      <w:b/>
      <w:sz w:val="22"/>
    </w:rPr>
  </w:style>
  <w:style w:type="character" w:customStyle="1" w:styleId="Heading2Char">
    <w:name w:val="Heading 2 Char"/>
    <w:rPr>
      <w:rFonts w:ascii="Liberation Sans" w:eastAsia="Liberation Sans" w:hAnsi="Liberation Sans" w:cs="Times New Roman"/>
      <w:color w:val="000000"/>
      <w:sz w:val="34"/>
      <w:szCs w:val="24"/>
    </w:rPr>
  </w:style>
  <w:style w:type="character" w:customStyle="1" w:styleId="11">
    <w:name w:val="Заголовок1"/>
    <w:rPr>
      <w:rFonts w:ascii="PT Astra Serif" w:eastAsia="PT Astra Serif" w:hAnsi="PT Astra Serif" w:cs="PT Astra Serif"/>
      <w:sz w:val="28"/>
    </w:rPr>
  </w:style>
  <w:style w:type="character" w:customStyle="1" w:styleId="21">
    <w:name w:val="Заголовок 21"/>
    <w:rPr>
      <w:rFonts w:ascii="Liberation Sans" w:eastAsia="Liberation Sans" w:hAnsi="Liberation Sans" w:cs="Liberation Sans"/>
      <w:sz w:val="34"/>
    </w:rPr>
  </w:style>
  <w:style w:type="character" w:customStyle="1" w:styleId="41">
    <w:name w:val="Заголовок 41"/>
    <w:rPr>
      <w:rFonts w:ascii="Liberation Sans" w:eastAsia="Liberation Sans" w:hAnsi="Liberation Sans" w:cs="Liberation Sans"/>
      <w:b/>
      <w:sz w:val="26"/>
    </w:rPr>
  </w:style>
  <w:style w:type="character" w:customStyle="1" w:styleId="22">
    <w:name w:val="Заголовок2"/>
    <w:rPr>
      <w:sz w:val="48"/>
    </w:rPr>
  </w:style>
  <w:style w:type="character" w:customStyle="1" w:styleId="12">
    <w:name w:val="Подзаголовок1"/>
    <w:rPr>
      <w:sz w:val="24"/>
    </w:rPr>
  </w:style>
  <w:style w:type="character" w:customStyle="1" w:styleId="Heading7Char">
    <w:name w:val="Heading 7 Char"/>
    <w:rPr>
      <w:rFonts w:ascii="Liberation Sans" w:eastAsia="Liberation Sans" w:hAnsi="Liberation Sans" w:cs="Times New Roman"/>
      <w:b/>
      <w:i/>
      <w:color w:val="000000"/>
      <w:szCs w:val="24"/>
    </w:rPr>
  </w:style>
  <w:style w:type="character" w:customStyle="1" w:styleId="ContentsHeading">
    <w:name w:val="Contents Heading"/>
    <w:rPr>
      <w:rFonts w:ascii="Calibri" w:eastAsia="Calibri" w:hAnsi="Calibri" w:cs="Calibri"/>
      <w:color w:val="000000"/>
      <w:sz w:val="22"/>
    </w:rPr>
  </w:style>
  <w:style w:type="character" w:customStyle="1" w:styleId="TitleChar">
    <w:name w:val="Title Char"/>
    <w:rPr>
      <w:rFonts w:ascii="Times New Roman" w:eastAsia="Times New Roman" w:hAnsi="Times New Roman" w:cs="Times New Roman"/>
      <w:color w:val="000000"/>
      <w:sz w:val="48"/>
      <w:szCs w:val="24"/>
    </w:rPr>
  </w:style>
  <w:style w:type="character" w:customStyle="1" w:styleId="Contents5">
    <w:name w:val="Contents 5"/>
  </w:style>
  <w:style w:type="character" w:customStyle="1" w:styleId="13">
    <w:name w:val="Верхний колонтитул1"/>
  </w:style>
  <w:style w:type="character" w:customStyle="1" w:styleId="Heading8Char">
    <w:name w:val="Heading 8 Char"/>
    <w:rPr>
      <w:rFonts w:ascii="Liberation Sans" w:eastAsia="Liberation Sans" w:hAnsi="Liberation Sans" w:cs="Times New Roman"/>
      <w:i/>
      <w:color w:val="000000"/>
      <w:szCs w:val="24"/>
    </w:rPr>
  </w:style>
  <w:style w:type="character" w:customStyle="1" w:styleId="CaptionChar">
    <w:name w:val="Caption Char"/>
    <w:rPr>
      <w:rFonts w:ascii="Times New Roman" w:eastAsia="Times New Roman" w:hAnsi="Times New Roman" w:cs="Times New Roman"/>
      <w:b/>
      <w:color w:val="4F81BD"/>
      <w:sz w:val="18"/>
      <w:szCs w:val="24"/>
    </w:rPr>
  </w:style>
  <w:style w:type="character" w:customStyle="1" w:styleId="14">
    <w:name w:val="Указатель1"/>
    <w:rPr>
      <w:rFonts w:ascii="PT Astra Serif" w:eastAsia="PT Astra Serif" w:hAnsi="PT Astra Serif" w:cs="PT Astra Serif"/>
    </w:rPr>
  </w:style>
  <w:style w:type="character" w:customStyle="1" w:styleId="Contents8">
    <w:name w:val="Contents 8"/>
  </w:style>
  <w:style w:type="character" w:customStyle="1" w:styleId="ac">
    <w:name w:val="Нижний колонтитул Знак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TextChar">
    <w:name w:val="Footnote Text Char"/>
    <w:rPr>
      <w:sz w:val="18"/>
    </w:rPr>
  </w:style>
  <w:style w:type="character" w:customStyle="1" w:styleId="Heading5Char">
    <w:name w:val="Heading 5 Char"/>
    <w:rPr>
      <w:rFonts w:ascii="Liberation Sans" w:eastAsia="Liberation Sans" w:hAnsi="Liberation Sans" w:cs="Times New Roman"/>
      <w:b/>
      <w:color w:val="000000"/>
      <w:sz w:val="24"/>
      <w:szCs w:val="24"/>
    </w:rPr>
  </w:style>
  <w:style w:type="character" w:customStyle="1" w:styleId="Contents9">
    <w:name w:val="Contents 9"/>
  </w:style>
  <w:style w:type="character" w:customStyle="1" w:styleId="Heading3Char">
    <w:name w:val="Heading 3 Char"/>
    <w:rPr>
      <w:rFonts w:ascii="Liberation Sans" w:eastAsia="Liberation Sans" w:hAnsi="Liberation Sans" w:cs="Times New Roman"/>
      <w:color w:val="000000"/>
      <w:sz w:val="30"/>
      <w:szCs w:val="24"/>
    </w:rPr>
  </w:style>
  <w:style w:type="character" w:customStyle="1" w:styleId="15">
    <w:name w:val="Название объекта1"/>
    <w:rPr>
      <w:b/>
      <w:color w:val="4F81BD"/>
      <w:sz w:val="18"/>
    </w:rPr>
  </w:style>
  <w:style w:type="character" w:customStyle="1" w:styleId="HeaderandFooter">
    <w:name w:val="Header and Footer"/>
    <w:rPr>
      <w:rFonts w:ascii="XO Thames" w:eastAsia="XO Thames" w:hAnsi="XO Thames" w:cs="XO Thames"/>
      <w:sz w:val="28"/>
    </w:rPr>
  </w:style>
  <w:style w:type="character" w:customStyle="1" w:styleId="Contents1">
    <w:name w:val="Contents 1"/>
  </w:style>
  <w:style w:type="character" w:customStyle="1" w:styleId="EndnoteTextChar">
    <w:name w:val="Endnote Text Char"/>
    <w:rPr>
      <w:sz w:val="20"/>
    </w:rPr>
  </w:style>
  <w:style w:type="character" w:customStyle="1" w:styleId="81">
    <w:name w:val="Заголовок 81"/>
    <w:rPr>
      <w:rFonts w:ascii="Liberation Sans" w:eastAsia="Liberation Sans" w:hAnsi="Liberation Sans" w:cs="Liberation Sans"/>
      <w:i/>
      <w:sz w:val="22"/>
    </w:rPr>
  </w:style>
  <w:style w:type="character" w:customStyle="1" w:styleId="Footnote">
    <w:name w:val="Footnote"/>
    <w:rPr>
      <w:sz w:val="18"/>
    </w:rPr>
  </w:style>
  <w:style w:type="character" w:customStyle="1" w:styleId="ad">
    <w:name w:val="Верхний колонтитул Знак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6">
    <w:name w:val="Список1"/>
    <w:rPr>
      <w:rFonts w:ascii="PT Astra Serif" w:eastAsia="PT Astra Serif" w:hAnsi="PT Astra Serif" w:cs="Times New Roman"/>
      <w:color w:val="000000"/>
      <w:sz w:val="24"/>
      <w:szCs w:val="24"/>
    </w:rPr>
  </w:style>
  <w:style w:type="character" w:customStyle="1" w:styleId="110">
    <w:name w:val="Заголовок 11"/>
    <w:rPr>
      <w:rFonts w:ascii="Liberation Sans" w:eastAsia="Liberation Sans" w:hAnsi="Liberation Sans" w:cs="Liberation Sans"/>
      <w:sz w:val="40"/>
    </w:rPr>
  </w:style>
  <w:style w:type="character" w:customStyle="1" w:styleId="17">
    <w:name w:val="Без интервала1"/>
    <w:rPr>
      <w:rFonts w:ascii="Calibri" w:eastAsia="Calibri" w:hAnsi="Calibri" w:cs="Calibri"/>
      <w:color w:val="000000"/>
      <w:sz w:val="22"/>
    </w:rPr>
  </w:style>
  <w:style w:type="character" w:customStyle="1" w:styleId="51">
    <w:name w:val="Заголовок 51"/>
    <w:rPr>
      <w:rFonts w:ascii="Liberation Sans" w:eastAsia="Liberation Sans" w:hAnsi="Liberation Sans" w:cs="Liberation Sans"/>
      <w:b/>
      <w:sz w:val="24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e">
    <w:name w:val="Колонтитул"/>
  </w:style>
  <w:style w:type="character" w:customStyle="1" w:styleId="18">
    <w:name w:val="Перечень рисунков1"/>
  </w:style>
  <w:style w:type="character" w:customStyle="1" w:styleId="Textbody">
    <w:name w:val="Text body"/>
  </w:style>
  <w:style w:type="character" w:customStyle="1" w:styleId="Contents3">
    <w:name w:val="Contents 3"/>
  </w:style>
  <w:style w:type="character" w:customStyle="1" w:styleId="210">
    <w:name w:val="Цитата 21"/>
    <w:rPr>
      <w:i/>
    </w:rPr>
  </w:style>
  <w:style w:type="character" w:customStyle="1" w:styleId="19">
    <w:name w:val="Нижний колонтитул1"/>
  </w:style>
  <w:style w:type="character" w:customStyle="1" w:styleId="91">
    <w:name w:val="Заголовок 91"/>
    <w:rPr>
      <w:rFonts w:ascii="Liberation Sans" w:eastAsia="Liberation Sans" w:hAnsi="Liberation Sans" w:cs="Liberation Sans"/>
      <w:i/>
      <w:sz w:val="21"/>
    </w:rPr>
  </w:style>
  <w:style w:type="character" w:customStyle="1" w:styleId="23">
    <w:name w:val="Указатель2"/>
    <w:basedOn w:val="11"/>
    <w:rPr>
      <w:rFonts w:ascii="PT Astra Serif" w:eastAsia="PT Astra Serif" w:hAnsi="PT Astra Serif" w:cs="Times New Roman"/>
      <w:color w:val="000000"/>
      <w:sz w:val="28"/>
      <w:szCs w:val="24"/>
    </w:rPr>
  </w:style>
  <w:style w:type="character" w:customStyle="1" w:styleId="HeaderChar">
    <w:name w:val="Header Char"/>
    <w:basedOn w:val="a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a2"/>
    <w:rPr>
      <w:rFonts w:ascii="Liberation Sans" w:eastAsia="Liberation Sans" w:hAnsi="Liberation Sans" w:cs="Times New Roman"/>
      <w:b/>
      <w:color w:val="000000"/>
      <w:sz w:val="26"/>
      <w:szCs w:val="24"/>
    </w:rPr>
  </w:style>
  <w:style w:type="character" w:customStyle="1" w:styleId="31">
    <w:name w:val="Заголовок 31"/>
    <w:rPr>
      <w:rFonts w:ascii="Liberation Sans" w:eastAsia="Liberation Sans" w:hAnsi="Liberation Sans" w:cs="Liberation Sans"/>
      <w:sz w:val="30"/>
    </w:rPr>
  </w:style>
  <w:style w:type="character" w:customStyle="1" w:styleId="Endnote">
    <w:name w:val="Endnote"/>
    <w:rPr>
      <w:sz w:val="20"/>
    </w:rPr>
  </w:style>
  <w:style w:type="character" w:customStyle="1" w:styleId="Heading1Char">
    <w:name w:val="Heading 1 Char"/>
    <w:basedOn w:val="a2"/>
    <w:rPr>
      <w:rFonts w:ascii="Liberation Sans" w:eastAsia="Liberation Sans" w:hAnsi="Liberation Sans" w:cs="Times New Roman"/>
      <w:color w:val="000000"/>
      <w:sz w:val="40"/>
      <w:szCs w:val="24"/>
    </w:rPr>
  </w:style>
  <w:style w:type="character" w:customStyle="1" w:styleId="Contents7">
    <w:name w:val="Contents 7"/>
  </w:style>
  <w:style w:type="character" w:customStyle="1" w:styleId="Contents6">
    <w:name w:val="Contents 6"/>
  </w:style>
  <w:style w:type="character" w:customStyle="1" w:styleId="Heading9Char">
    <w:name w:val="Heading 9 Char"/>
    <w:basedOn w:val="a2"/>
    <w:rPr>
      <w:rFonts w:ascii="Liberation Sans" w:eastAsia="Liberation Sans" w:hAnsi="Liberation Sans" w:cs="Times New Roman"/>
      <w:i/>
      <w:color w:val="000000"/>
      <w:sz w:val="21"/>
      <w:szCs w:val="24"/>
    </w:rPr>
  </w:style>
  <w:style w:type="character" w:customStyle="1" w:styleId="1a">
    <w:name w:val="Абзац списка1"/>
  </w:style>
  <w:style w:type="character" w:customStyle="1" w:styleId="71">
    <w:name w:val="Заголовок 71"/>
    <w:rPr>
      <w:rFonts w:ascii="Liberation Sans" w:eastAsia="Liberation Sans" w:hAnsi="Liberation Sans" w:cs="Liberation Sans"/>
      <w:b/>
      <w:i/>
      <w:sz w:val="22"/>
    </w:rPr>
  </w:style>
  <w:style w:type="character" w:customStyle="1" w:styleId="Contents4">
    <w:name w:val="Contents 4"/>
  </w:style>
  <w:style w:type="character" w:customStyle="1" w:styleId="1b">
    <w:name w:val="Выделенная цитата1"/>
    <w:rPr>
      <w:i/>
    </w:rPr>
  </w:style>
  <w:style w:type="character" w:customStyle="1" w:styleId="1c">
    <w:name w:val="Текст выноски1"/>
    <w:rPr>
      <w:rFonts w:ascii="Tahoma" w:eastAsia="Tahoma" w:hAnsi="Tahoma" w:cs="Tahoma"/>
      <w:sz w:val="16"/>
    </w:rPr>
  </w:style>
  <w:style w:type="character" w:customStyle="1" w:styleId="Contents2">
    <w:name w:val="Contents 2"/>
  </w:style>
  <w:style w:type="character" w:customStyle="1" w:styleId="Heading6Char">
    <w:name w:val="Heading 6 Char"/>
    <w:basedOn w:val="a2"/>
    <w:rPr>
      <w:rFonts w:ascii="Liberation Sans" w:eastAsia="Liberation Sans" w:hAnsi="Liberation Sans" w:cs="Times New Roman"/>
      <w:b/>
      <w:color w:val="000000"/>
      <w:szCs w:val="24"/>
    </w:rPr>
  </w:style>
  <w:style w:type="paragraph" w:styleId="af">
    <w:name w:val="header"/>
    <w:basedOn w:val="a1"/>
    <w:pPr>
      <w:tabs>
        <w:tab w:val="center" w:pos="4677"/>
        <w:tab w:val="right" w:pos="9355"/>
      </w:tabs>
    </w:pPr>
  </w:style>
  <w:style w:type="character" w:customStyle="1" w:styleId="1d">
    <w:name w:val="Верхний колонтитул Знак1"/>
    <w:basedOn w:val="a2"/>
  </w:style>
  <w:style w:type="paragraph" w:styleId="af0">
    <w:name w:val="footer"/>
    <w:basedOn w:val="a1"/>
    <w:pPr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a2"/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60683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Шалашов Станислав Николаевич</dc:creator>
  <cp:lastModifiedBy>Шалашов Станислав Николаевич</cp:lastModifiedBy>
  <cp:revision>2</cp:revision>
  <dcterms:created xsi:type="dcterms:W3CDTF">2026-10-29T12:24:00Z</dcterms:created>
  <dcterms:modified xsi:type="dcterms:W3CDTF">2026-10-29T12:24:00Z</dcterms:modified>
</cp:coreProperties>
</file>