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5" w:rsidRPr="00D72276" w:rsidRDefault="002A1585" w:rsidP="002A1585">
      <w:pPr>
        <w:jc w:val="center"/>
        <w:rPr>
          <w:b/>
        </w:rPr>
      </w:pPr>
      <w:r w:rsidRPr="00D72276">
        <w:rPr>
          <w:b/>
        </w:rPr>
        <w:t>ОТЧЕТ</w:t>
      </w:r>
    </w:p>
    <w:p w:rsidR="002A1585" w:rsidRPr="00D72276" w:rsidRDefault="002A1585" w:rsidP="002A1585">
      <w:pPr>
        <w:jc w:val="center"/>
        <w:rPr>
          <w:b/>
        </w:rPr>
      </w:pPr>
      <w:r w:rsidRPr="00D72276">
        <w:rPr>
          <w:b/>
        </w:rPr>
        <w:t>о деятельности администрации города Магнитогорска по управлению имуществом, находящимся в муниципальной собственности, и об использовании земельных участков, которыми уполномочены распоряжаться органы местного самоуправления города Магнитогорска, за 2018 год</w:t>
      </w:r>
    </w:p>
    <w:p w:rsidR="002A1585" w:rsidRPr="00117E92" w:rsidRDefault="002A1585" w:rsidP="002A1585">
      <w:pPr>
        <w:jc w:val="center"/>
        <w:rPr>
          <w:i/>
        </w:rPr>
      </w:pPr>
    </w:p>
    <w:p w:rsidR="002A1585" w:rsidRPr="00D72276" w:rsidRDefault="002A1585" w:rsidP="002A158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72276">
        <w:t xml:space="preserve">В реестре муниципального имущества на 1 января 2019 года числятся: </w:t>
      </w:r>
    </w:p>
    <w:p w:rsidR="002A1585" w:rsidRPr="00D72276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>26 684 объекта недвижимого имущества стоимостью 25,1 миллиарда рублей;</w:t>
      </w:r>
    </w:p>
    <w:p w:rsidR="002A1585" w:rsidRPr="00D72276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 xml:space="preserve">72 468 объекта движимого имущества стоимостью 7,3 миллиарда рублей; </w:t>
      </w:r>
    </w:p>
    <w:p w:rsidR="002A1585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>788 земельных участка общей площадью 1 081,06 га, кадастровой стоимостью 13,8 миллиарда рублей.</w:t>
      </w:r>
    </w:p>
    <w:p w:rsidR="002A1585" w:rsidRPr="00D72276" w:rsidRDefault="002A1585" w:rsidP="002A1585">
      <w:pPr>
        <w:ind w:firstLine="709"/>
        <w:jc w:val="both"/>
      </w:pPr>
      <w:r w:rsidRPr="00D72276">
        <w:t>На 1 января 2018 года в реестре муниципального имущества числилось:</w:t>
      </w:r>
    </w:p>
    <w:p w:rsidR="002A1585" w:rsidRPr="00D72276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>32 706 объектов недвижимого имущества общей стоимостью 26,8 миллиарда рублей;</w:t>
      </w:r>
    </w:p>
    <w:p w:rsidR="002A1585" w:rsidRPr="00D72276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 xml:space="preserve">186 480 объектов движимого имущества общей стоимостью 7,9 миллиарда рублей; </w:t>
      </w:r>
    </w:p>
    <w:p w:rsidR="002A1585" w:rsidRPr="00D72276" w:rsidRDefault="002A1585" w:rsidP="002A158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72276">
        <w:t>759 участков общей площадью 1 110,6 га, кадастровой стоимостью</w:t>
      </w:r>
      <w:r>
        <w:t xml:space="preserve"> </w:t>
      </w:r>
      <w:r w:rsidRPr="00D72276">
        <w:t xml:space="preserve">14,5 миллиарда рублей.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Кроме того, администрация города Магнитогорска </w:t>
      </w:r>
      <w:r>
        <w:t xml:space="preserve">(далее – администрация города) </w:t>
      </w:r>
      <w:r w:rsidRPr="00D72276">
        <w:t>как орган местного самоуправления, вправе распоряжаться земельными участками, расположенными на территории городского округа и право собственности, на которые не разграничено.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Количество не разграниченных земельных участков составляло: </w:t>
      </w:r>
    </w:p>
    <w:p w:rsidR="002A1585" w:rsidRPr="00D72276" w:rsidRDefault="002A1585" w:rsidP="002A1585">
      <w:pPr>
        <w:ind w:firstLine="709"/>
        <w:jc w:val="both"/>
        <w:rPr>
          <w:b/>
        </w:rPr>
      </w:pPr>
      <w:r w:rsidRPr="00D72276">
        <w:t>на 1 января 2019 года 4 240 земельных участков, кадастровая стоимость которых 26,7 миллиарда рублей;</w:t>
      </w:r>
      <w:r w:rsidRPr="00D72276">
        <w:rPr>
          <w:b/>
        </w:rPr>
        <w:t xml:space="preserve">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на 1 января 2018 года 4 476 участков с кадастровой стоимостью 27,3 миллиарда рублей. 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tabs>
          <w:tab w:val="left" w:pos="1134"/>
        </w:tabs>
        <w:ind w:firstLine="709"/>
        <w:jc w:val="both"/>
      </w:pPr>
      <w:r>
        <w:t>2.</w:t>
      </w:r>
      <w:r>
        <w:tab/>
      </w:r>
      <w:r w:rsidRPr="00D72276">
        <w:t>В соответствии с законодательством Российской Федерации имущество, находящееся в муниципальной собственности, кроме земельных участков, может быть закреплено за муниципальными предприятиями и учреждениями на праве хозяйственного ведения и оперативного управления, а также вовл</w:t>
      </w:r>
      <w:r>
        <w:t xml:space="preserve">екаться в хозяйственный оборот </w:t>
      </w:r>
      <w:r w:rsidRPr="00D72276">
        <w:t xml:space="preserve">администрацией города самостоятельно. </w:t>
      </w:r>
    </w:p>
    <w:p w:rsidR="002A1585" w:rsidRPr="00D72276" w:rsidRDefault="002A1585" w:rsidP="002A1585">
      <w:pPr>
        <w:ind w:firstLine="709"/>
        <w:jc w:val="both"/>
      </w:pPr>
      <w:r w:rsidRPr="00D72276">
        <w:t>На 1 января 2019 года числятся 10 муниципальных предприятий и 262 муниципальных учреждения, за которыми закреплено 13 775 объектов недвижимости, в том числе:</w:t>
      </w:r>
    </w:p>
    <w:p w:rsidR="002A1585" w:rsidRPr="00D72276" w:rsidRDefault="002A1585" w:rsidP="002A158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709" w:firstLine="0"/>
        <w:jc w:val="both"/>
      </w:pPr>
      <w:r w:rsidRPr="00D72276">
        <w:t>за муниципальными предприятиями 12 714 объектов на праве хозяйственного ведения;</w:t>
      </w:r>
    </w:p>
    <w:p w:rsidR="002A1585" w:rsidRPr="00D72276" w:rsidRDefault="002A1585" w:rsidP="002A158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709" w:firstLine="0"/>
        <w:jc w:val="both"/>
      </w:pPr>
      <w:r w:rsidRPr="00D72276">
        <w:t>за муниципальными учреждениями 1 061 объект на праве оперативного управления.</w:t>
      </w:r>
    </w:p>
    <w:p w:rsidR="002A1585" w:rsidRPr="00D72276" w:rsidRDefault="002A1585" w:rsidP="002A1585">
      <w:pPr>
        <w:pStyle w:val="a3"/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 xml:space="preserve">3. Муниципальное имущество и земельные участки, которыми администрация города уполномочена распоряжаться в силу закона, могут вовлекаться в хозяйственный оборот администрацией города путем проведения аукционов и без проведения аукционов </w:t>
      </w:r>
      <w:proofErr w:type="gramStart"/>
      <w:r w:rsidRPr="00D72276">
        <w:t>через</w:t>
      </w:r>
      <w:proofErr w:type="gramEnd"/>
      <w:r w:rsidRPr="00D72276">
        <w:t>:</w:t>
      </w:r>
    </w:p>
    <w:p w:rsidR="002A1585" w:rsidRPr="00D72276" w:rsidRDefault="002A1585" w:rsidP="002A158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firstLine="0"/>
        <w:jc w:val="both"/>
      </w:pPr>
      <w:r w:rsidRPr="00D72276">
        <w:t xml:space="preserve">продажу части имущества из Прогнозного плана (программы) приватизации; </w:t>
      </w:r>
    </w:p>
    <w:p w:rsidR="002A1585" w:rsidRPr="00D72276" w:rsidRDefault="002A1585" w:rsidP="002A158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firstLine="0"/>
        <w:jc w:val="both"/>
      </w:pPr>
      <w:r w:rsidRPr="00D72276">
        <w:t xml:space="preserve">продажу земельных участков; </w:t>
      </w:r>
    </w:p>
    <w:p w:rsidR="002A1585" w:rsidRPr="00D72276" w:rsidRDefault="002A1585" w:rsidP="002A158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firstLine="0"/>
        <w:jc w:val="both"/>
      </w:pPr>
      <w:r w:rsidRPr="00D72276">
        <w:t>заключение договоров аренды имущества и земельных участков.</w:t>
      </w:r>
    </w:p>
    <w:p w:rsidR="002A1585" w:rsidRPr="00D72276" w:rsidRDefault="002A1585" w:rsidP="002A1585">
      <w:pPr>
        <w:pStyle w:val="a3"/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>В Прогнозный план (программу) приватизации имущества, находящегося в муниципальн</w:t>
      </w:r>
      <w:r>
        <w:t xml:space="preserve">ой собственности, на 2018 год, </w:t>
      </w:r>
      <w:r w:rsidRPr="00D72276">
        <w:t>утвержденный Решением Магнитогорског</w:t>
      </w:r>
      <w:r>
        <w:t>о городского Собрания депутатов</w:t>
      </w:r>
      <w:r w:rsidRPr="00D72276">
        <w:t xml:space="preserve"> </w:t>
      </w:r>
      <w:r w:rsidRPr="00D72276">
        <w:rPr>
          <w:rFonts w:eastAsiaTheme="minorHAnsi"/>
          <w:lang w:eastAsia="en-US"/>
        </w:rPr>
        <w:t xml:space="preserve">от 28 ноября 2017 года №168, (далее – Программа приватизации 2018) </w:t>
      </w:r>
      <w:r w:rsidRPr="00D72276">
        <w:t xml:space="preserve">было включено 38 объектов недвижимости и 8 единиц автотранспорта. В течение 2018 года организованы 134 продажи, из них: 62 открытых аукциона; 56 продаж </w:t>
      </w:r>
      <w:r w:rsidRPr="00D72276">
        <w:lastRenderedPageBreak/>
        <w:t xml:space="preserve">посредством публичного предложения и 16 продаж без объявления цены. В результате данных процедур было продано 34 муниципальных объекта недвижимости, 8 единиц автотранспорта (за 2017 год – 12 объектов).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Продажа имущества без проведения аукционов </w:t>
      </w:r>
      <w:proofErr w:type="gramStart"/>
      <w:r w:rsidRPr="00D72276">
        <w:t>производится</w:t>
      </w:r>
      <w:proofErr w:type="gramEnd"/>
      <w:r w:rsidRPr="00D72276">
        <w:t xml:space="preserve"> в том числе в рамках программы поддержки малого и среднего бизнеса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 На 1 января 2019 года перечень помещений, арендуемых субъектами малого и среднего предпринимательства, которые могут реализовать преимущественное право выкупа, составляет 76 объектов.</w:t>
      </w:r>
    </w:p>
    <w:p w:rsidR="002A1585" w:rsidRPr="00D72276" w:rsidRDefault="002A1585" w:rsidP="002A1585">
      <w:pPr>
        <w:ind w:firstLine="709"/>
        <w:jc w:val="both"/>
      </w:pPr>
      <w:r w:rsidRPr="00D72276">
        <w:t>В 2018 году правом преимущественного выкупа воспользовались 5 субъектов малого и среднего предпринимательства (в 2017 году – 11).</w:t>
      </w:r>
    </w:p>
    <w:p w:rsidR="002A1585" w:rsidRPr="00D72276" w:rsidRDefault="002A1585" w:rsidP="002A1585">
      <w:pPr>
        <w:ind w:firstLine="709"/>
        <w:jc w:val="both"/>
      </w:pPr>
      <w:r w:rsidRPr="00D72276">
        <w:t>За 2018 год продано 290 земельных участков, которыми уполномочены распоряжаться органы местного самоуправления города Магнитогорска в соответствии с законодательством Российской Федерации, общей площадью 44,19 га, что на 88 участков больше по сравнению с 2017 годом, из них: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>без аукциона (под объектами недвижимости)</w:t>
      </w:r>
      <w:r>
        <w:t xml:space="preserve"> - </w:t>
      </w:r>
      <w:r w:rsidRPr="00D72276">
        <w:t xml:space="preserve">265 участков 40,69 га; 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>с проведением аукциона - 22 земельных участка 2,21 га;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>3 участка 1,29 га в соответствии с Федеральным Законом «О приватизации государственного и муниципального имущества в Российской Федерации».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>4. Договоры аренды муниципального имущества и земельных участков заключаются также в порядке, установленном законодательством, как путем проведения аукционов, так и без проведения аукционов.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Всего </w:t>
      </w:r>
      <w:proofErr w:type="gramStart"/>
      <w:r w:rsidRPr="00D72276">
        <w:t>на конец</w:t>
      </w:r>
      <w:proofErr w:type="gramEnd"/>
      <w:r w:rsidRPr="00D72276">
        <w:t xml:space="preserve"> 2018 года действовали: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>252 договора аренды муниципальных нежилых помещений общей площадью 29,89 тысяч кв</w:t>
      </w:r>
      <w:proofErr w:type="gramStart"/>
      <w:r w:rsidRPr="00D72276">
        <w:t>.м</w:t>
      </w:r>
      <w:proofErr w:type="gramEnd"/>
      <w:r w:rsidRPr="00D72276">
        <w:t xml:space="preserve"> (в 2017 году – 235 договоров на общую площадь 24,89 тысячи кв. м); 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 xml:space="preserve">3 329 договоров аренды земельных участков на 4 300 земельных участков общей площадью 5 894,26 га (в 2017году – 4 242 договора на 4 620 земельных участка общей площадью 5 922,67 га). </w:t>
      </w:r>
    </w:p>
    <w:p w:rsidR="002A1585" w:rsidRPr="00D72276" w:rsidRDefault="002A1585" w:rsidP="002A1585">
      <w:pPr>
        <w:ind w:firstLine="709"/>
        <w:jc w:val="both"/>
      </w:pPr>
      <w:r w:rsidRPr="00D72276">
        <w:t>Количество договоров арендованных земельных участков снижается в связи с выкупом земельных участков под объектами недвижимости.</w:t>
      </w:r>
    </w:p>
    <w:p w:rsidR="002A1585" w:rsidRPr="00D72276" w:rsidRDefault="002A1585" w:rsidP="002A1585">
      <w:pPr>
        <w:ind w:firstLine="709"/>
        <w:jc w:val="both"/>
      </w:pPr>
      <w:r w:rsidRPr="00D72276">
        <w:t>В 2018 году по результатам проведенных аукционов и конкурсов заключено: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>45 договоров аренды нежилых помещений (в 2017 году - 20 договоров аренды нежилых помещений);</w:t>
      </w:r>
    </w:p>
    <w:p w:rsidR="002A1585" w:rsidRPr="00D72276" w:rsidRDefault="002A1585" w:rsidP="002A1585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</w:pPr>
      <w:r w:rsidRPr="00D72276">
        <w:t xml:space="preserve">20 договоров аренды земельных участков по </w:t>
      </w:r>
      <w:r>
        <w:t>результатам торгов (аукционов) (в</w:t>
      </w:r>
      <w:r w:rsidRPr="00D72276">
        <w:t xml:space="preserve"> 2017 году было заключено 16 договоров аренды земельных участков</w:t>
      </w:r>
      <w:r>
        <w:t>)</w:t>
      </w:r>
      <w:r w:rsidRPr="00D72276">
        <w:t>.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>5. Муниципальное имущество на основании Решения Магнитогорского городского Собрания депутатов от 9 февраля 2016 №6 «Об утверждении Положения о передаче имущества, находящегося в муниципальной собственности города Магнитогорска, в безвозмездное пользование» может передаваться в безвозмездное пользование.</w:t>
      </w:r>
    </w:p>
    <w:p w:rsidR="002A1585" w:rsidRPr="00D72276" w:rsidRDefault="002A1585" w:rsidP="002A1585">
      <w:pPr>
        <w:ind w:firstLine="709"/>
        <w:jc w:val="both"/>
      </w:pPr>
      <w:r w:rsidRPr="00D72276">
        <w:t>За 2018 год заключено 19 договоров безвозмездного пользования на имущество, из них: 16 договоров на недвижимое имущество общей площадью 3418,4 кв</w:t>
      </w:r>
      <w:proofErr w:type="gramStart"/>
      <w:r w:rsidRPr="00D72276">
        <w:t>.м</w:t>
      </w:r>
      <w:proofErr w:type="gramEnd"/>
      <w:r w:rsidRPr="00D72276">
        <w:t xml:space="preserve"> и 3 договора на движимое имущество (в сравнении: за 2017 год заключено 4 договора безвозмездного пользования на недвижимое имущество общей площадью 3 126,90 кв.м).</w:t>
      </w:r>
    </w:p>
    <w:p w:rsidR="002A1585" w:rsidRPr="00D72276" w:rsidRDefault="002A1585" w:rsidP="002A158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72276">
        <w:rPr>
          <w:rFonts w:ascii="Times New Roman" w:hAnsi="Times New Roman"/>
          <w:sz w:val="24"/>
          <w:szCs w:val="24"/>
        </w:rPr>
        <w:t>При этом в 2018 году расторгнуто 7 договоров безвозмездного пользования на недвижимое имущество общей площадью 4501,20 кв</w:t>
      </w:r>
      <w:proofErr w:type="gramStart"/>
      <w:r w:rsidRPr="00D72276">
        <w:rPr>
          <w:rFonts w:ascii="Times New Roman" w:hAnsi="Times New Roman"/>
          <w:sz w:val="24"/>
          <w:szCs w:val="24"/>
        </w:rPr>
        <w:t>.м</w:t>
      </w:r>
      <w:proofErr w:type="gramEnd"/>
      <w:r w:rsidRPr="00D72276">
        <w:rPr>
          <w:rFonts w:ascii="Times New Roman" w:hAnsi="Times New Roman"/>
          <w:sz w:val="24"/>
          <w:szCs w:val="24"/>
        </w:rPr>
        <w:t xml:space="preserve">, в 2 договора внесены изменения в части исключения недвижимого имущества общей площадью 117,2 кв.м.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Таким образом, по состоянию </w:t>
      </w:r>
      <w:proofErr w:type="gramStart"/>
      <w:r w:rsidRPr="00D72276">
        <w:t>на конец</w:t>
      </w:r>
      <w:proofErr w:type="gramEnd"/>
      <w:r w:rsidRPr="00D72276">
        <w:t xml:space="preserve"> 2018 года действовали 67 договоров безвозмездного пользования муниципальным недвижимым имуществом общей площадью </w:t>
      </w:r>
      <w:r w:rsidRPr="00D72276">
        <w:lastRenderedPageBreak/>
        <w:t>73 881,44 кв.м.</w:t>
      </w:r>
    </w:p>
    <w:p w:rsidR="002A1585" w:rsidRPr="00D72276" w:rsidRDefault="002A1585" w:rsidP="002A1585">
      <w:pPr>
        <w:ind w:firstLine="709"/>
        <w:jc w:val="both"/>
      </w:pPr>
      <w:r>
        <w:t xml:space="preserve">Договоры заключены </w:t>
      </w:r>
      <w:proofErr w:type="gramStart"/>
      <w:r>
        <w:t>с</w:t>
      </w:r>
      <w:proofErr w:type="gramEnd"/>
      <w:r w:rsidRPr="00D72276">
        <w:t xml:space="preserve">: 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- правоохранительными органами - 21%;  </w:t>
      </w:r>
    </w:p>
    <w:p w:rsidR="002A1585" w:rsidRPr="00D72276" w:rsidRDefault="002A1585" w:rsidP="002A1585">
      <w:pPr>
        <w:ind w:firstLine="709"/>
        <w:jc w:val="both"/>
      </w:pPr>
      <w:r w:rsidRPr="00D72276">
        <w:t>- социально ориентированными некоммерческими организациями - 31%;</w:t>
      </w:r>
    </w:p>
    <w:p w:rsidR="002A1585" w:rsidRPr="00D72276" w:rsidRDefault="002A1585" w:rsidP="002A1585">
      <w:pPr>
        <w:ind w:firstLine="709"/>
        <w:jc w:val="both"/>
      </w:pPr>
      <w:r w:rsidRPr="00D72276">
        <w:t>- здравоохранение - 20%;</w:t>
      </w:r>
    </w:p>
    <w:p w:rsidR="002A1585" w:rsidRPr="00D72276" w:rsidRDefault="002A1585" w:rsidP="002A1585">
      <w:pPr>
        <w:ind w:firstLine="709"/>
        <w:jc w:val="both"/>
      </w:pPr>
      <w:r w:rsidRPr="00D72276">
        <w:t>- организациями спорта - 15%;</w:t>
      </w:r>
    </w:p>
    <w:p w:rsidR="002A1585" w:rsidRPr="00D72276" w:rsidRDefault="002A1585" w:rsidP="002A1585">
      <w:pPr>
        <w:ind w:firstLine="709"/>
        <w:jc w:val="both"/>
      </w:pPr>
      <w:r w:rsidRPr="00D72276">
        <w:t>- организациями образования - 4%;</w:t>
      </w:r>
    </w:p>
    <w:p w:rsidR="002A1585" w:rsidRPr="00D72276" w:rsidRDefault="002A1585" w:rsidP="002A1585">
      <w:pPr>
        <w:ind w:firstLine="709"/>
        <w:jc w:val="both"/>
      </w:pPr>
      <w:r w:rsidRPr="00D72276">
        <w:t>- другими организациями - 9%.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Кроме того, в соответствии со статьей 39.10 Земельного кодекса Российской Федерации земельные участки, находящиеся в государственной или муниципальной собственности, могут быть </w:t>
      </w:r>
      <w:hyperlink r:id="rId5" w:history="1">
        <w:r w:rsidRPr="00D72276">
          <w:t>предоставлены</w:t>
        </w:r>
      </w:hyperlink>
      <w:r>
        <w:t xml:space="preserve"> в безвозмездное пользование </w:t>
      </w:r>
      <w:r w:rsidRPr="00D72276">
        <w:t>муниципальным (бюджетным, каз</w:t>
      </w:r>
      <w:r>
        <w:t xml:space="preserve">енным, автономным) учреждениям </w:t>
      </w:r>
      <w:r w:rsidRPr="00D72276">
        <w:t xml:space="preserve">на срок не более года. </w:t>
      </w:r>
    </w:p>
    <w:p w:rsidR="002A1585" w:rsidRDefault="002A1585" w:rsidP="002A1585">
      <w:pPr>
        <w:ind w:firstLine="709"/>
        <w:jc w:val="both"/>
      </w:pPr>
      <w:r w:rsidRPr="00D72276">
        <w:t>В 2018 году в безвозмездное пользование предоставлено 54 земельных участка площадью 234,38 га, в то время как за 2017 год предоставлено 69 участков площадью 195,83 га.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 w:rsidRPr="00D72276">
        <w:t>6.</w:t>
      </w:r>
      <w:r>
        <w:tab/>
      </w:r>
      <w:r w:rsidRPr="00D72276">
        <w:t xml:space="preserve">За 2018 год поступления по неналоговым доходам, </w:t>
      </w:r>
      <w:proofErr w:type="spellStart"/>
      <w:r w:rsidRPr="00D72276">
        <w:t>администрируемым</w:t>
      </w:r>
      <w:proofErr w:type="spellEnd"/>
      <w:r w:rsidRPr="00D72276">
        <w:t xml:space="preserve"> комитетом по управлению имуществом и земельными отношениями администрации города, составили 603,9 млн. рублей, что на 73,2 млн. рублей</w:t>
      </w:r>
      <w:r w:rsidRPr="00D72276" w:rsidDel="00BD14D0">
        <w:t xml:space="preserve"> </w:t>
      </w:r>
      <w:r w:rsidRPr="00D72276">
        <w:t xml:space="preserve">больше запланированного (исполнение на 113,80 %) и на 19 млн. рублей больше чем за 2017 год. </w:t>
      </w: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 w:rsidRPr="00D72276">
        <w:t>7.</w:t>
      </w:r>
      <w:r>
        <w:tab/>
      </w:r>
      <w:r w:rsidRPr="00D72276">
        <w:t>Сравнительный анализ по сбору</w:t>
      </w:r>
      <w:r w:rsidRPr="00D72276">
        <w:rPr>
          <w:b/>
        </w:rPr>
        <w:t xml:space="preserve"> </w:t>
      </w:r>
      <w:r w:rsidRPr="00D72276">
        <w:t xml:space="preserve">платежей, </w:t>
      </w:r>
      <w:proofErr w:type="spellStart"/>
      <w:r w:rsidRPr="00D72276">
        <w:t>администрируемых</w:t>
      </w:r>
      <w:proofErr w:type="spellEnd"/>
      <w:r w:rsidRPr="00D72276">
        <w:t xml:space="preserve"> комитетом по управлению имуществом и земельными отношениями администрации города, за 2018 и 2017 годы представлен в таблицах.</w:t>
      </w:r>
    </w:p>
    <w:p w:rsidR="002A1585" w:rsidRPr="00D72276" w:rsidRDefault="002A1585" w:rsidP="002A1585">
      <w:pPr>
        <w:ind w:firstLine="709"/>
        <w:jc w:val="center"/>
        <w:rPr>
          <w:b/>
        </w:rPr>
      </w:pPr>
    </w:p>
    <w:p w:rsidR="002A1585" w:rsidRPr="00D72276" w:rsidRDefault="002A1585" w:rsidP="002A1585">
      <w:pPr>
        <w:jc w:val="center"/>
        <w:rPr>
          <w:b/>
        </w:rPr>
      </w:pPr>
      <w:r w:rsidRPr="00D72276">
        <w:rPr>
          <w:b/>
        </w:rPr>
        <w:t xml:space="preserve">Информация по </w:t>
      </w:r>
      <w:r>
        <w:rPr>
          <w:b/>
        </w:rPr>
        <w:t>за</w:t>
      </w:r>
      <w:r w:rsidRPr="00D72276">
        <w:rPr>
          <w:b/>
        </w:rPr>
        <w:t>планирован</w:t>
      </w:r>
      <w:r>
        <w:rPr>
          <w:b/>
        </w:rPr>
        <w:t>ному</w:t>
      </w:r>
      <w:r w:rsidRPr="00D72276">
        <w:rPr>
          <w:b/>
        </w:rPr>
        <w:t xml:space="preserve"> и фактическому поступлению в бюджет города платежей, </w:t>
      </w:r>
      <w:proofErr w:type="spellStart"/>
      <w:r w:rsidRPr="00D72276">
        <w:rPr>
          <w:b/>
        </w:rPr>
        <w:t>администрируемых</w:t>
      </w:r>
      <w:proofErr w:type="spellEnd"/>
      <w:r w:rsidRPr="00D72276">
        <w:rPr>
          <w:b/>
        </w:rPr>
        <w:t xml:space="preserve"> комитетом по управлению имуществом и земельными отношениями администрации города </w:t>
      </w:r>
    </w:p>
    <w:p w:rsidR="002A1585" w:rsidRPr="00D72276" w:rsidRDefault="002A1585" w:rsidP="002A1585">
      <w:pPr>
        <w:ind w:firstLine="709"/>
        <w:jc w:val="center"/>
        <w:rPr>
          <w:b/>
        </w:rPr>
      </w:pPr>
    </w:p>
    <w:tbl>
      <w:tblPr>
        <w:tblStyle w:val="a4"/>
        <w:tblW w:w="7479" w:type="dxa"/>
        <w:tblInd w:w="1224" w:type="dxa"/>
        <w:tblLook w:val="04A0"/>
      </w:tblPr>
      <w:tblGrid>
        <w:gridCol w:w="1765"/>
        <w:gridCol w:w="2879"/>
        <w:gridCol w:w="2835"/>
      </w:tblGrid>
      <w:tr w:rsidR="002A1585" w:rsidRPr="00D72276" w:rsidTr="00523F36">
        <w:trPr>
          <w:trHeight w:val="20"/>
        </w:trPr>
        <w:tc>
          <w:tcPr>
            <w:tcW w:w="1765" w:type="dxa"/>
          </w:tcPr>
          <w:p w:rsidR="002A1585" w:rsidRPr="009477F1" w:rsidRDefault="002A1585" w:rsidP="00523F36">
            <w:pPr>
              <w:ind w:right="-83" w:firstLine="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2879" w:type="dxa"/>
          </w:tcPr>
          <w:p w:rsidR="002A1585" w:rsidRPr="009477F1" w:rsidRDefault="002A1585" w:rsidP="00523F36">
            <w:pPr>
              <w:ind w:right="-83" w:firstLine="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План (тыс. руб.)</w:t>
            </w:r>
          </w:p>
        </w:tc>
        <w:tc>
          <w:tcPr>
            <w:tcW w:w="2835" w:type="dxa"/>
          </w:tcPr>
          <w:p w:rsidR="002A1585" w:rsidRPr="009477F1" w:rsidRDefault="002A1585" w:rsidP="00523F36">
            <w:pPr>
              <w:ind w:right="-83" w:firstLine="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Факт (тыс. руб.)</w:t>
            </w:r>
          </w:p>
        </w:tc>
      </w:tr>
      <w:tr w:rsidR="002A1585" w:rsidRPr="00D72276" w:rsidTr="00523F36">
        <w:trPr>
          <w:trHeight w:val="20"/>
        </w:trPr>
        <w:tc>
          <w:tcPr>
            <w:tcW w:w="1765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 xml:space="preserve">2017 </w:t>
            </w:r>
          </w:p>
        </w:tc>
        <w:tc>
          <w:tcPr>
            <w:tcW w:w="2879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>578 472,26</w:t>
            </w:r>
          </w:p>
        </w:tc>
        <w:tc>
          <w:tcPr>
            <w:tcW w:w="2835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>584 991,09</w:t>
            </w:r>
          </w:p>
        </w:tc>
      </w:tr>
      <w:tr w:rsidR="002A1585" w:rsidRPr="00D72276" w:rsidTr="00523F36">
        <w:trPr>
          <w:trHeight w:val="20"/>
        </w:trPr>
        <w:tc>
          <w:tcPr>
            <w:tcW w:w="1765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 xml:space="preserve">2018 </w:t>
            </w:r>
          </w:p>
        </w:tc>
        <w:tc>
          <w:tcPr>
            <w:tcW w:w="2879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>530 740,26</w:t>
            </w:r>
          </w:p>
        </w:tc>
        <w:tc>
          <w:tcPr>
            <w:tcW w:w="2835" w:type="dxa"/>
          </w:tcPr>
          <w:p w:rsidR="002A1585" w:rsidRPr="00D72276" w:rsidRDefault="002A1585" w:rsidP="00523F36">
            <w:pPr>
              <w:ind w:right="-83" w:firstLine="8"/>
              <w:jc w:val="center"/>
            </w:pPr>
            <w:r w:rsidRPr="00D72276">
              <w:t>603 967,39</w:t>
            </w:r>
          </w:p>
        </w:tc>
      </w:tr>
    </w:tbl>
    <w:p w:rsidR="002A1585" w:rsidRPr="00D72276" w:rsidRDefault="002A1585" w:rsidP="002A1585">
      <w:pPr>
        <w:ind w:firstLine="709"/>
        <w:jc w:val="both"/>
      </w:pPr>
    </w:p>
    <w:p w:rsidR="002A1585" w:rsidRDefault="002A1585" w:rsidP="002A1585">
      <w:pPr>
        <w:jc w:val="center"/>
        <w:rPr>
          <w:b/>
        </w:rPr>
      </w:pPr>
      <w:r w:rsidRPr="00D72276">
        <w:rPr>
          <w:b/>
        </w:rPr>
        <w:t>Фактическое поступление в бюджет города платежей,</w:t>
      </w:r>
    </w:p>
    <w:p w:rsidR="002A1585" w:rsidRDefault="002A1585" w:rsidP="002A1585">
      <w:pPr>
        <w:jc w:val="center"/>
        <w:rPr>
          <w:b/>
        </w:rPr>
      </w:pPr>
      <w:proofErr w:type="spellStart"/>
      <w:r w:rsidRPr="00D72276">
        <w:rPr>
          <w:b/>
        </w:rPr>
        <w:t>администрируемых</w:t>
      </w:r>
      <w:proofErr w:type="spellEnd"/>
      <w:r w:rsidRPr="00D72276">
        <w:rPr>
          <w:b/>
        </w:rPr>
        <w:t xml:space="preserve"> комитетом по управлению имуществом и земельными отношениями администрации города,</w:t>
      </w:r>
      <w:r>
        <w:rPr>
          <w:b/>
        </w:rPr>
        <w:t xml:space="preserve"> в сравнении </w:t>
      </w:r>
      <w:r w:rsidRPr="00D72276">
        <w:rPr>
          <w:b/>
        </w:rPr>
        <w:t>2017</w:t>
      </w:r>
      <w:r>
        <w:rPr>
          <w:b/>
        </w:rPr>
        <w:t xml:space="preserve"> года</w:t>
      </w:r>
      <w:r w:rsidRPr="00D72276">
        <w:rPr>
          <w:b/>
        </w:rPr>
        <w:t xml:space="preserve"> с 2018 годом</w:t>
      </w:r>
    </w:p>
    <w:p w:rsidR="002A1585" w:rsidRPr="00D72276" w:rsidRDefault="002A1585" w:rsidP="002A1585">
      <w:pPr>
        <w:ind w:firstLine="709"/>
        <w:jc w:val="center"/>
        <w:rPr>
          <w:b/>
        </w:rPr>
      </w:pPr>
    </w:p>
    <w:tbl>
      <w:tblPr>
        <w:tblStyle w:val="a4"/>
        <w:tblW w:w="9864" w:type="dxa"/>
        <w:tblLook w:val="04A0"/>
      </w:tblPr>
      <w:tblGrid>
        <w:gridCol w:w="6062"/>
        <w:gridCol w:w="992"/>
        <w:gridCol w:w="992"/>
        <w:gridCol w:w="1818"/>
      </w:tblGrid>
      <w:tr w:rsidR="002A1585" w:rsidRPr="00D72276" w:rsidTr="00523F36">
        <w:tc>
          <w:tcPr>
            <w:tcW w:w="6062" w:type="dxa"/>
            <w:vAlign w:val="center"/>
          </w:tcPr>
          <w:p w:rsidR="002A1585" w:rsidRPr="009477F1" w:rsidRDefault="002A1585" w:rsidP="00523F36">
            <w:pPr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Вид дохода бюджета города</w:t>
            </w:r>
          </w:p>
        </w:tc>
        <w:tc>
          <w:tcPr>
            <w:tcW w:w="992" w:type="dxa"/>
            <w:vAlign w:val="center"/>
          </w:tcPr>
          <w:p w:rsidR="002A1585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2017 год, </w:t>
            </w:r>
          </w:p>
          <w:p w:rsidR="002A1585" w:rsidRPr="009477F1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A1585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2018 год,</w:t>
            </w:r>
          </w:p>
          <w:p w:rsidR="002A1585" w:rsidRPr="009477F1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818" w:type="dxa"/>
            <w:vAlign w:val="center"/>
          </w:tcPr>
          <w:p w:rsidR="002A1585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 xml:space="preserve">Отклонение 2018 </w:t>
            </w:r>
          </w:p>
          <w:p w:rsidR="002A1585" w:rsidRPr="009477F1" w:rsidRDefault="002A1585" w:rsidP="00523F36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9477F1">
              <w:rPr>
                <w:b/>
                <w:i/>
                <w:sz w:val="20"/>
                <w:szCs w:val="20"/>
              </w:rPr>
              <w:t>от 2017, тыс. руб.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от продажи имущества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20,2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69,6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49,4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от продажи земельных участков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36,5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31,3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-5,2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 xml:space="preserve">от сдачи имущества в аренду 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26,8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24,0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-2,8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от сдачи в аренду земельных участков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419,7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401,9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-17,8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от предоставления рекламных мест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42,6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35,1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-7,5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по договорам на размещение нестационарных торговых объектов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3,1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6,1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3,0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по начислениям за неосновательное обогащение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8,9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13,9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5,0</w:t>
            </w:r>
          </w:p>
        </w:tc>
      </w:tr>
      <w:tr w:rsidR="002A1585" w:rsidRPr="00D72276" w:rsidTr="00523F36">
        <w:tc>
          <w:tcPr>
            <w:tcW w:w="6062" w:type="dxa"/>
          </w:tcPr>
          <w:p w:rsidR="002A1585" w:rsidRPr="00D72276" w:rsidRDefault="002A1585" w:rsidP="00523F36">
            <w:pPr>
              <w:ind w:right="-108"/>
            </w:pPr>
            <w:r w:rsidRPr="00D72276">
              <w:t>о</w:t>
            </w:r>
            <w:r>
              <w:t xml:space="preserve">плата </w:t>
            </w:r>
            <w:r w:rsidRPr="00D72276">
              <w:t xml:space="preserve">задолженности </w:t>
            </w:r>
            <w:r>
              <w:t>прошлых периодов (по претензиям</w:t>
            </w:r>
            <w:r w:rsidRPr="00D72276">
              <w:t>)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27,2</w:t>
            </w:r>
          </w:p>
        </w:tc>
        <w:tc>
          <w:tcPr>
            <w:tcW w:w="992" w:type="dxa"/>
          </w:tcPr>
          <w:p w:rsidR="002A1585" w:rsidRPr="00D72276" w:rsidRDefault="002A1585" w:rsidP="00523F36">
            <w:pPr>
              <w:jc w:val="center"/>
            </w:pPr>
            <w:r w:rsidRPr="00D72276">
              <w:t>22,0</w:t>
            </w:r>
          </w:p>
        </w:tc>
        <w:tc>
          <w:tcPr>
            <w:tcW w:w="1818" w:type="dxa"/>
          </w:tcPr>
          <w:p w:rsidR="002A1585" w:rsidRPr="00D72276" w:rsidRDefault="002A1585" w:rsidP="00523F36">
            <w:pPr>
              <w:jc w:val="center"/>
            </w:pPr>
            <w:r w:rsidRPr="00D72276">
              <w:t>5,2</w:t>
            </w:r>
          </w:p>
        </w:tc>
      </w:tr>
    </w:tbl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 xml:space="preserve">В основном увеличение в 2018 году поступлений неналоговых доходов в бюджет города Магнитогорска (далее – бюджет города) по сравнению с 2017 годом связан с ростом </w:t>
      </w:r>
      <w:r w:rsidRPr="00D72276">
        <w:lastRenderedPageBreak/>
        <w:t>поступлений от продажи имущества. Общая сумма поступлений за 2018 год составила 69,6 млн. рублей (за 2017 год 20,2 млн. рублей), в том числе:</w:t>
      </w:r>
    </w:p>
    <w:p w:rsidR="002A1585" w:rsidRPr="00D72276" w:rsidRDefault="002A1585" w:rsidP="002A1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72276">
        <w:t xml:space="preserve">через Программу приватизации 2018 поступления в 2018 году составили 44,7 млн. </w:t>
      </w:r>
      <w:r>
        <w:t>рублей, что</w:t>
      </w:r>
      <w:r w:rsidRPr="00D72276">
        <w:t xml:space="preserve"> на 40,5 млн. рублей больше, чем в 2017 году (4,2 млн. рублей), в том числе: </w:t>
      </w:r>
    </w:p>
    <w:p w:rsidR="002A1585" w:rsidRPr="00D72276" w:rsidRDefault="002A1585" w:rsidP="002A1585">
      <w:pPr>
        <w:pStyle w:val="a3"/>
        <w:tabs>
          <w:tab w:val="left" w:pos="851"/>
          <w:tab w:val="left" w:pos="1418"/>
          <w:tab w:val="left" w:pos="1701"/>
        </w:tabs>
        <w:ind w:left="1134"/>
        <w:jc w:val="both"/>
      </w:pPr>
      <w:r>
        <w:t>-</w:t>
      </w:r>
      <w:r>
        <w:tab/>
      </w:r>
      <w:r w:rsidRPr="00D72276">
        <w:t>6,9 млн. рубл</w:t>
      </w:r>
      <w:r>
        <w:t>ей от продажи нежилых объектов;</w:t>
      </w:r>
    </w:p>
    <w:p w:rsidR="002A1585" w:rsidRPr="00D72276" w:rsidRDefault="002A1585" w:rsidP="002A1585">
      <w:pPr>
        <w:pStyle w:val="a3"/>
        <w:tabs>
          <w:tab w:val="left" w:pos="851"/>
          <w:tab w:val="left" w:pos="1418"/>
          <w:tab w:val="left" w:pos="1701"/>
        </w:tabs>
        <w:ind w:left="1134"/>
        <w:jc w:val="both"/>
      </w:pPr>
      <w:r>
        <w:t>-</w:t>
      </w:r>
      <w:r>
        <w:tab/>
      </w:r>
      <w:r w:rsidRPr="00D72276">
        <w:t>37,2 млн. рублей от продажи автотранспорта;</w:t>
      </w:r>
    </w:p>
    <w:p w:rsidR="002A1585" w:rsidRPr="00D72276" w:rsidRDefault="002A1585" w:rsidP="002A1585">
      <w:pPr>
        <w:pStyle w:val="a3"/>
        <w:tabs>
          <w:tab w:val="left" w:pos="851"/>
          <w:tab w:val="left" w:pos="1418"/>
          <w:tab w:val="left" w:pos="1701"/>
        </w:tabs>
        <w:ind w:left="1134"/>
        <w:jc w:val="both"/>
      </w:pPr>
      <w:r>
        <w:t>-</w:t>
      </w:r>
      <w:r>
        <w:tab/>
      </w:r>
      <w:r w:rsidRPr="00D72276">
        <w:t>0,6 млн. рублей от приватизации нежилого помещения, включенного в Прогнозный план (программу) приватизации имущества, находящегося в муниципальн</w:t>
      </w:r>
      <w:r>
        <w:t xml:space="preserve">ой собственности, на 2017 год, </w:t>
      </w:r>
      <w:r w:rsidRPr="00D72276">
        <w:t>утвержденный Решением Магнитогорского</w:t>
      </w:r>
      <w:r>
        <w:t xml:space="preserve"> городского Собрания депутатов </w:t>
      </w:r>
      <w:r w:rsidRPr="00D72276">
        <w:rPr>
          <w:rFonts w:eastAsiaTheme="minorHAnsi"/>
          <w:lang w:eastAsia="en-US"/>
        </w:rPr>
        <w:t>от 29 ноября 2016 года №166</w:t>
      </w:r>
      <w:r w:rsidRPr="00D72276">
        <w:t>;</w:t>
      </w:r>
    </w:p>
    <w:p w:rsidR="002A1585" w:rsidRPr="00D72276" w:rsidRDefault="002A1585" w:rsidP="002A1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72276">
        <w:t xml:space="preserve">от продажи помещений субъектам малого и среднего предпринимательства </w:t>
      </w:r>
      <w:r w:rsidRPr="00D72276" w:rsidDel="008D4110">
        <w:t xml:space="preserve"> </w:t>
      </w:r>
      <w:r w:rsidRPr="00D72276">
        <w:t>по преимущественному праву выкупа арендуемых муниципальных нежилых помещений. Сумма поступлений в бюджет города в 2018 году составила 24,9 млн. рублей (в 2017 году 16,0 млн. рублей).</w:t>
      </w:r>
    </w:p>
    <w:p w:rsidR="002A1585" w:rsidRPr="00D72276" w:rsidRDefault="002A1585" w:rsidP="002A1585">
      <w:pPr>
        <w:ind w:firstLine="709"/>
        <w:jc w:val="both"/>
      </w:pPr>
      <w:r>
        <w:t>Сумма доходов</w:t>
      </w:r>
      <w:r w:rsidRPr="00D72276">
        <w:t xml:space="preserve"> бюджета города от продажи земельных участков за 2018 год составила 31,3 млн. рублей, что на 5,2 млн. рублей меньше по сравнению с 2017 годом (в 2017 году 36,5 млн. рублей).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Несмотря на большее количество проданных участков (на 88 участков) в 2018 году по сравнению с 2017 годом, снижение доходов связано </w:t>
      </w:r>
      <w:r w:rsidRPr="00D72276">
        <w:rPr>
          <w:lang w:val="en-US"/>
        </w:rPr>
        <w:t>c</w:t>
      </w:r>
      <w:r w:rsidRPr="00D72276">
        <w:t xml:space="preserve"> тем фактом, что правом на выкуп  воспользовалась категория граждан, имеющая право на льготную цену выкупа (пенсионеры, субъекты малого предпринимательства). </w:t>
      </w:r>
    </w:p>
    <w:p w:rsidR="002A1585" w:rsidRPr="00D72276" w:rsidRDefault="002A1585" w:rsidP="002A1585">
      <w:pPr>
        <w:ind w:firstLine="709"/>
        <w:jc w:val="both"/>
      </w:pPr>
      <w:r w:rsidRPr="00D72276">
        <w:t>От сдачи имущества в аренду в бюджет города за 2018 год поступило 24,0 млн. рублей, (в 2017 году – 26,8 млн. рублей).</w:t>
      </w:r>
    </w:p>
    <w:p w:rsidR="002A1585" w:rsidRPr="00D72276" w:rsidRDefault="002A1585" w:rsidP="002A1585">
      <w:pPr>
        <w:ind w:firstLine="709"/>
        <w:jc w:val="both"/>
      </w:pPr>
      <w:r w:rsidRPr="00D72276">
        <w:t>По договорам аренды</w:t>
      </w:r>
      <w:r>
        <w:t xml:space="preserve"> земельных участков сумма поступлений в 2018 году составила</w:t>
      </w:r>
      <w:r w:rsidRPr="00D72276">
        <w:t xml:space="preserve"> 401,9 млн. рублей (в 2017 году - 419,7 млн. рублей). Снижение связано с расторжением договоров аренды и продажи земельных участков по преимущественному праву выкупа. 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pStyle w:val="a3"/>
        <w:ind w:left="0" w:firstLine="709"/>
        <w:jc w:val="both"/>
      </w:pPr>
      <w:r w:rsidRPr="00D72276">
        <w:t>8. Еще одним источником дохода в бюджет города является предоставление под установку и эксплуатацию рекламных конструкций.</w:t>
      </w:r>
    </w:p>
    <w:p w:rsidR="002A1585" w:rsidRPr="00D72276" w:rsidRDefault="002A1585" w:rsidP="002A1585">
      <w:pPr>
        <w:pStyle w:val="a3"/>
        <w:ind w:left="0" w:firstLine="709"/>
        <w:jc w:val="both"/>
      </w:pPr>
      <w:proofErr w:type="gramStart"/>
      <w:r w:rsidRPr="00D72276">
        <w:t>На конец</w:t>
      </w:r>
      <w:proofErr w:type="gramEnd"/>
      <w:r w:rsidRPr="00D72276">
        <w:t xml:space="preserve"> 2018 года действовали 646 договоров (в 2017 году действовали 676 договоров).</w:t>
      </w:r>
    </w:p>
    <w:p w:rsidR="002A1585" w:rsidRPr="00D72276" w:rsidRDefault="002A1585" w:rsidP="002A1585">
      <w:pPr>
        <w:ind w:firstLine="709"/>
        <w:jc w:val="both"/>
      </w:pPr>
      <w:r w:rsidRPr="00D72276">
        <w:t>В бюджет города от рекламной деятельности за 2018 год поступило 35,1 млн. рублей (в 2017 году поступления составили 42,6 млн. рублей).</w:t>
      </w:r>
    </w:p>
    <w:p w:rsidR="002A1585" w:rsidRPr="00D72276" w:rsidRDefault="002A1585" w:rsidP="002A1585">
      <w:pPr>
        <w:pStyle w:val="a3"/>
        <w:ind w:left="0" w:firstLine="709"/>
        <w:jc w:val="both"/>
      </w:pPr>
      <w:r w:rsidRPr="00D72276">
        <w:t xml:space="preserve">Снижение поступлений в бюджет города от рекламной деятельности связано в основном с тем, что в 2018 году от проведенных аукционов поступила меньшая сумма, чем в 2017 году. Стоимость рекламных мест, выставленных на торги в 2018 году, и, соответственно, начальная цена договоров ниже, чем в 2017 году. 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В рамках исполнения Федерального закона «О рекламе» на орган местного самоуправления возложена функция </w:t>
      </w:r>
      <w:proofErr w:type="gramStart"/>
      <w:r w:rsidRPr="00D72276">
        <w:t>контроля за</w:t>
      </w:r>
      <w:proofErr w:type="gramEnd"/>
      <w:r w:rsidRPr="00D72276">
        <w:t xml:space="preserve"> размещением наружной рекламы на территории города, в течение 2018 года:</w:t>
      </w: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 w:rsidRPr="00D72276">
        <w:t>-</w:t>
      </w:r>
      <w:r>
        <w:tab/>
      </w:r>
      <w:r w:rsidRPr="00D72276">
        <w:t xml:space="preserve">выдано 1045 предписаний о демонтаже незаконно установленных рекламных конструкций на территории города Магнитогорска; </w:t>
      </w: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D72276">
        <w:t>демонтировано 119 незаконно установленных рекламных конструкций малых форм (</w:t>
      </w:r>
      <w:proofErr w:type="spellStart"/>
      <w:r w:rsidRPr="00D72276">
        <w:t>штендеры</w:t>
      </w:r>
      <w:proofErr w:type="spellEnd"/>
      <w:r w:rsidRPr="00D72276">
        <w:t xml:space="preserve">) на улицах города, а также настенных панно на фасадах жилых домов. В соответствии с предписаниями добровольно демонтированы </w:t>
      </w:r>
      <w:proofErr w:type="gramStart"/>
      <w:r w:rsidRPr="00D72276">
        <w:t>собственниками</w:t>
      </w:r>
      <w:proofErr w:type="gramEnd"/>
      <w:r w:rsidRPr="00D72276">
        <w:t xml:space="preserve"> незаконно установленные 844 рекламные конструкции. 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 xml:space="preserve">9. </w:t>
      </w:r>
      <w:r>
        <w:t>В</w:t>
      </w:r>
      <w:r w:rsidRPr="00D72276">
        <w:t xml:space="preserve"> бюджет города в 2018 году поступило 6,1 млн. рублей по 195 заключённым договорам на размещение нестационарных торговых объектов (далее – НТО), за аналогичный период 2017 года по </w:t>
      </w:r>
      <w:bookmarkStart w:id="0" w:name="_GoBack"/>
      <w:bookmarkEnd w:id="0"/>
      <w:r w:rsidRPr="00D72276">
        <w:t>173 договорам на размещение НТО поступило 3,1 млн. рублей.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Согласно Схеме размещения НТО (с учетом внесенных изменений) на территории </w:t>
      </w:r>
      <w:r w:rsidRPr="00D72276">
        <w:lastRenderedPageBreak/>
        <w:t>города Магнитогорска утверждено 748 мест размещения НТО. На сегодняшний день действуют 458 договоров на размещение НТО.</w:t>
      </w:r>
    </w:p>
    <w:p w:rsidR="002A1585" w:rsidRPr="00D72276" w:rsidRDefault="002A1585" w:rsidP="002A1585">
      <w:pPr>
        <w:tabs>
          <w:tab w:val="left" w:pos="1134"/>
        </w:tabs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 xml:space="preserve">10. В рамках муниципального земельного контроля за 2018 год были проведены 1 154 выездных проверки с целью выявления нарушений земельного законодательства и выявления </w:t>
      </w:r>
      <w:proofErr w:type="gramStart"/>
      <w:r w:rsidRPr="00D72276">
        <w:t>нарушений соблюдения условий договоров аренды земельных участков</w:t>
      </w:r>
      <w:proofErr w:type="gramEnd"/>
      <w:r w:rsidRPr="00D72276">
        <w:t>. По результатам проверок выявлено 12 фактов использования земельных участков с нарушением законодательства, их них:</w:t>
      </w: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 w:rsidRPr="00D72276">
        <w:t>-</w:t>
      </w:r>
      <w:r>
        <w:tab/>
      </w:r>
      <w:r w:rsidRPr="00D72276">
        <w:t>по 6 фактам нецелевого использования земельных участков документы переданы в правоохранительные и надзорные органы;</w:t>
      </w:r>
    </w:p>
    <w:p w:rsidR="002A1585" w:rsidRPr="00D72276" w:rsidRDefault="002A1585" w:rsidP="002A1585">
      <w:pPr>
        <w:tabs>
          <w:tab w:val="left" w:pos="993"/>
        </w:tabs>
        <w:ind w:firstLine="709"/>
        <w:jc w:val="both"/>
      </w:pPr>
      <w:r w:rsidRPr="00D72276">
        <w:t>-</w:t>
      </w:r>
      <w:r>
        <w:tab/>
      </w:r>
      <w:r w:rsidRPr="00D72276">
        <w:t xml:space="preserve">по 6 фактам самовольного занятия земельных участков документы переданы в правовое управление администрации города для освобождения земельных участков в судебном порядке. </w:t>
      </w:r>
    </w:p>
    <w:p w:rsidR="002A1585" w:rsidRPr="00D72276" w:rsidRDefault="002A1585" w:rsidP="002A1585">
      <w:pPr>
        <w:ind w:firstLine="709"/>
        <w:jc w:val="both"/>
      </w:pPr>
      <w:r w:rsidRPr="00D72276">
        <w:t>По 30 землепользователям на основании соответствующих актов обследования земельных участков произведены корректировки расчетов арендной платы (в сторону увеличения) на общую сумму 2,3 млн. рублей.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За данный период составлено 50 актов приема-передачи земельных участков. </w:t>
      </w:r>
    </w:p>
    <w:p w:rsidR="002A1585" w:rsidRPr="00D72276" w:rsidRDefault="002A1585" w:rsidP="002A1585">
      <w:pPr>
        <w:ind w:firstLine="709"/>
        <w:jc w:val="both"/>
      </w:pPr>
      <w:r w:rsidRPr="00D72276">
        <w:t>За 2018 год было проведено 863 выездных проверки с целью выявления нарушений содержания</w:t>
      </w:r>
      <w:r>
        <w:t xml:space="preserve"> и использования муниципального имущества в</w:t>
      </w:r>
      <w:r w:rsidRPr="00D72276">
        <w:t xml:space="preserve"> соответствии с условиями предоставления. Осуществлено 267 проверо</w:t>
      </w:r>
      <w:r>
        <w:t>к</w:t>
      </w:r>
      <w:r w:rsidRPr="00D72276">
        <w:t xml:space="preserve"> пустующих нежилых помещений на предмет сохранности и безаварийности, а также дальнейшего предоставления в собственность или аренду. </w:t>
      </w:r>
    </w:p>
    <w:p w:rsidR="002A1585" w:rsidRPr="00D72276" w:rsidRDefault="002A1585" w:rsidP="002A1585">
      <w:pPr>
        <w:ind w:firstLine="709"/>
        <w:jc w:val="both"/>
      </w:pPr>
      <w:r w:rsidRPr="00D72276">
        <w:t>Также в течение 2018 года осущест</w:t>
      </w:r>
      <w:r>
        <w:t>влено 277 выездов на совещания,</w:t>
      </w:r>
      <w:r w:rsidRPr="00D72276">
        <w:t xml:space="preserve"> заседания комиссий, по вопросам использования муниципального имущества и земельных участков.</w:t>
      </w:r>
    </w:p>
    <w:p w:rsidR="002A1585" w:rsidRPr="00D72276" w:rsidRDefault="002A1585" w:rsidP="002A1585">
      <w:pPr>
        <w:ind w:firstLine="709"/>
        <w:jc w:val="both"/>
      </w:pPr>
      <w:r w:rsidRPr="00D72276">
        <w:t>Итого в 2018 году была проведено 2 611 выездов.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Одним из показателей успешной деятельности администрации города по </w:t>
      </w:r>
      <w:proofErr w:type="gramStart"/>
      <w:r w:rsidRPr="00D72276">
        <w:t>контролю за</w:t>
      </w:r>
      <w:proofErr w:type="gramEnd"/>
      <w:r w:rsidRPr="00D72276">
        <w:t xml:space="preserve"> использованием земельных участков являются суммы поступлений, начисленные как неосновательное обогащение за землепользование (то есть самовольный захват земельных участко</w:t>
      </w:r>
      <w:r>
        <w:t>в без договора аренды), так за 2018 год</w:t>
      </w:r>
      <w:r w:rsidRPr="00D72276">
        <w:t xml:space="preserve"> в доход бюджета города перечислено 13,9 млн. рублей  (за 2017 год – 8,9 млн. рублей).</w:t>
      </w:r>
    </w:p>
    <w:p w:rsidR="002A1585" w:rsidRPr="00D72276" w:rsidRDefault="002A1585" w:rsidP="002A1585">
      <w:pPr>
        <w:ind w:firstLine="709"/>
        <w:jc w:val="both"/>
      </w:pPr>
      <w:r w:rsidRPr="00D72276">
        <w:t>Кроме того, с июля 2018 года начался сбор поступлений за использование места размещения НТО, так за 2018 год в бюджет города поступило 1,2 млн. рублей.</w:t>
      </w:r>
    </w:p>
    <w:p w:rsidR="002A1585" w:rsidRPr="00D72276" w:rsidRDefault="002A1585" w:rsidP="002A1585">
      <w:pPr>
        <w:ind w:firstLine="709"/>
        <w:jc w:val="both"/>
      </w:pPr>
    </w:p>
    <w:p w:rsidR="002A1585" w:rsidRPr="00D72276" w:rsidRDefault="002A1585" w:rsidP="002A1585">
      <w:pPr>
        <w:ind w:firstLine="709"/>
        <w:jc w:val="both"/>
      </w:pPr>
      <w:r w:rsidRPr="00D72276">
        <w:t xml:space="preserve">11. В рамках проведения мероприятий по </w:t>
      </w:r>
      <w:proofErr w:type="gramStart"/>
      <w:r w:rsidRPr="00D72276">
        <w:t>контролю за</w:t>
      </w:r>
      <w:proofErr w:type="gramEnd"/>
      <w:r w:rsidRPr="00D72276">
        <w:t xml:space="preserve"> дебиторской задолженностью в течение 2018 года проводилась работа по взысканию в досудебном порядке задолженности за использование муниципального имущества:</w:t>
      </w:r>
    </w:p>
    <w:p w:rsidR="002A1585" w:rsidRPr="00D72276" w:rsidRDefault="002A1585" w:rsidP="002A1585">
      <w:pPr>
        <w:ind w:firstLine="709"/>
        <w:jc w:val="both"/>
      </w:pPr>
      <w:r w:rsidRPr="00D72276">
        <w:t>- подготовлено 1 306 претензий, по которым в досудебном порядке перечислено в бюджет города 9,2 млн.  рублей;</w:t>
      </w:r>
    </w:p>
    <w:p w:rsidR="002A1585" w:rsidRPr="00D72276" w:rsidRDefault="002A1585" w:rsidP="002A1585">
      <w:pPr>
        <w:ind w:firstLine="709"/>
        <w:jc w:val="both"/>
      </w:pPr>
      <w:r w:rsidRPr="00D72276">
        <w:t xml:space="preserve">- проведено 57 заседаний межведомственной комиссии по обеспечению </w:t>
      </w:r>
      <w:proofErr w:type="gramStart"/>
      <w:r w:rsidRPr="00D72276">
        <w:t>контроля за</w:t>
      </w:r>
      <w:proofErr w:type="gramEnd"/>
      <w:r w:rsidRPr="00D72276">
        <w:t xml:space="preserve"> поступлением неналоговых доходов. По результатам работы комиссии в бюджет города перечислено 13,6 млн. рублей.</w:t>
      </w:r>
    </w:p>
    <w:p w:rsidR="002A1585" w:rsidRPr="00D72276" w:rsidRDefault="002A1585" w:rsidP="002A1585">
      <w:pPr>
        <w:ind w:firstLine="709"/>
        <w:jc w:val="both"/>
      </w:pPr>
      <w:r w:rsidRPr="00D72276">
        <w:t>Эта работа позволила снизить сумму дебиторской задолженности по неналоговым доходам на конец года на сумму 28,4 млн. рублей.</w:t>
      </w:r>
    </w:p>
    <w:p w:rsidR="0086346C" w:rsidRDefault="0086346C"/>
    <w:sectPr w:rsidR="0086346C" w:rsidSect="00D72276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6422"/>
      <w:docPartObj>
        <w:docPartGallery w:val="Page Numbers (Bottom of Page)"/>
        <w:docPartUnique/>
      </w:docPartObj>
    </w:sdtPr>
    <w:sdtEndPr/>
    <w:sdtContent>
      <w:p w:rsidR="00117E92" w:rsidRPr="00D72276" w:rsidRDefault="002A158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E92" w:rsidRDefault="002A158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41A"/>
    <w:multiLevelType w:val="hybridMultilevel"/>
    <w:tmpl w:val="959E4204"/>
    <w:lvl w:ilvl="0" w:tplc="379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3623"/>
    <w:multiLevelType w:val="hybridMultilevel"/>
    <w:tmpl w:val="1BB0B11A"/>
    <w:lvl w:ilvl="0" w:tplc="379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96151"/>
    <w:multiLevelType w:val="hybridMultilevel"/>
    <w:tmpl w:val="62B8C56C"/>
    <w:lvl w:ilvl="0" w:tplc="049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F6B57"/>
    <w:multiLevelType w:val="hybridMultilevel"/>
    <w:tmpl w:val="184EC352"/>
    <w:lvl w:ilvl="0" w:tplc="379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3AE7"/>
    <w:multiLevelType w:val="hybridMultilevel"/>
    <w:tmpl w:val="E2708AC6"/>
    <w:lvl w:ilvl="0" w:tplc="379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85"/>
    <w:rsid w:val="002156E1"/>
    <w:rsid w:val="002A1585"/>
    <w:rsid w:val="002D4DE1"/>
    <w:rsid w:val="003D34FE"/>
    <w:rsid w:val="006A483A"/>
    <w:rsid w:val="00765539"/>
    <w:rsid w:val="00766099"/>
    <w:rsid w:val="0086346C"/>
    <w:rsid w:val="009612E9"/>
    <w:rsid w:val="00A3664B"/>
    <w:rsid w:val="00C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5"/>
    <w:pPr>
      <w:ind w:left="720"/>
      <w:contextualSpacing/>
    </w:pPr>
  </w:style>
  <w:style w:type="table" w:styleId="a4">
    <w:name w:val="Table Grid"/>
    <w:basedOn w:val="a1"/>
    <w:rsid w:val="002A158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15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1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89FFC876F5AB77F8D8B2DF7C2EC09BDF069B7C987A01449B7CED5781E55D9F4800B6701AB757ADF21E4B7FBAC62D1254BC3EB09287068462t5o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2222</Words>
  <Characters>12668</Characters>
  <Application>Microsoft Office Word</Application>
  <DocSecurity>0</DocSecurity>
  <Lines>105</Lines>
  <Paragraphs>29</Paragraphs>
  <ScaleCrop>false</ScaleCrop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2020-01-10T11:02:00Z</dcterms:created>
  <dcterms:modified xsi:type="dcterms:W3CDTF">2020-01-10T11:04:00Z</dcterms:modified>
</cp:coreProperties>
</file>